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黑体"/>
          <w:b/>
          <w:bCs/>
          <w:color w:val="auto"/>
          <w:sz w:val="48"/>
          <w:szCs w:val="48"/>
          <w:highlight w:val="none"/>
        </w:rPr>
      </w:pPr>
      <w:r>
        <w:rPr>
          <w:rFonts w:hint="eastAsia" w:ascii="黑体" w:hAnsi="黑体" w:eastAsia="黑体" w:cs="黑体"/>
          <w:b/>
          <w:bCs/>
          <w:color w:val="auto"/>
          <w:sz w:val="48"/>
          <w:szCs w:val="48"/>
          <w:highlight w:val="none"/>
        </w:rPr>
      </w:r>
      <w:r/>
    </w:p>
    <w:p>
      <w:pPr>
        <w:jc w:val="center"/>
        <w:spacing w:line="360" w:lineRule="auto"/>
        <w:rPr>
          <w:rFonts w:hint="eastAsia" w:ascii="黑体" w:hAnsi="黑体" w:eastAsia="黑体" w:cs="黑体"/>
          <w:b/>
          <w:bCs/>
          <w:color w:val="auto"/>
          <w:sz w:val="44"/>
          <w:szCs w:val="44"/>
          <w:highlight w:val="none"/>
        </w:rPr>
      </w:pPr>
      <w:r>
        <w:rPr>
          <w:rFonts w:hint="eastAsia" w:ascii="黑体" w:hAnsi="黑体" w:eastAsia="黑体" w:cs="黑体"/>
          <w:b/>
          <w:bCs/>
          <w:color w:val="auto"/>
          <w:sz w:val="44"/>
          <w:szCs w:val="44"/>
          <w:highlight w:val="none"/>
          <w:lang w:eastAsia="zh-CN"/>
        </w:rPr>
        <w:t xml:space="preserve">盐城市中医院美容科医用激光仪器采购项目</w:t>
      </w:r>
      <w:r/>
    </w:p>
    <w:p>
      <w:pPr>
        <w:jc w:val="both"/>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center"/>
        <w:spacing w:line="360" w:lineRule="auto"/>
        <w:rPr>
          <w:rFonts w:hint="eastAsia" w:ascii="黑体" w:hAnsi="黑体" w:eastAsia="黑体" w:cs="黑体"/>
          <w:b/>
          <w:bCs/>
          <w:color w:val="auto"/>
          <w:sz w:val="32"/>
          <w:szCs w:val="32"/>
          <w:highlight w:val="none"/>
          <w:lang w:val="en-US" w:eastAsia="zh-CN"/>
        </w:rPr>
      </w:pPr>
      <w:r>
        <w:rPr>
          <w:rFonts w:hint="eastAsia" w:ascii="黑体" w:hAnsi="黑体" w:eastAsia="黑体" w:cs="黑体"/>
          <w:b/>
          <w:bCs/>
          <w:color w:val="auto"/>
          <w:sz w:val="32"/>
          <w:szCs w:val="32"/>
          <w:highlight w:val="none"/>
          <w:lang w:val="en-US" w:eastAsia="zh-CN"/>
        </w:rPr>
        <w:t xml:space="preserve">项目编号：</w:t>
      </w:r>
      <w:r>
        <w:rPr>
          <w:rFonts w:hint="eastAsia" w:ascii="黑体" w:hAnsi="黑体" w:eastAsia="黑体" w:cs="黑体"/>
          <w:b/>
          <w:bCs/>
          <w:color w:val="auto"/>
          <w:sz w:val="32"/>
          <w:szCs w:val="32"/>
          <w:highlight w:val="none"/>
          <w:lang w:val="en-US" w:eastAsia="zh-CN"/>
        </w:rPr>
        <w:t xml:space="preserve">JSZC-320900-JSHY-G2025-0490</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代理机构编号：</w:t>
      </w:r>
      <w:r>
        <w:rPr>
          <w:rFonts w:hint="eastAsia" w:ascii="黑体" w:hAnsi="黑体" w:eastAsia="黑体" w:cs="黑体"/>
          <w:b/>
          <w:bCs/>
          <w:color w:val="auto"/>
          <w:sz w:val="32"/>
          <w:szCs w:val="32"/>
          <w:highlight w:val="none"/>
          <w:lang w:val="en-US" w:eastAsia="zh-CN"/>
        </w:rPr>
        <w:t xml:space="preserve">1009-2541HOLLY67D</w:t>
      </w:r>
      <w:r/>
    </w:p>
    <w:p>
      <w:pPr>
        <w:jc w:val="cente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r>
      <w:r/>
    </w:p>
    <w:p>
      <w:pPr>
        <w:jc w:val="both"/>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方正大标宋简体" w:eastAsia="方正大标宋简体"/>
          <w:b/>
          <w:color w:val="auto"/>
          <w:sz w:val="18"/>
          <w:szCs w:val="18"/>
          <w:highlight w:val="none"/>
        </w:rPr>
      </w:pPr>
      <w:r>
        <w:rPr>
          <w:rFonts w:hint="eastAsia" w:ascii="方正大标宋简体" w:eastAsia="方正大标宋简体"/>
          <w:b/>
          <w:color w:val="auto"/>
          <w:sz w:val="18"/>
          <w:szCs w:val="18"/>
          <w:highlight w:val="none"/>
        </w:rPr>
      </w:r>
      <w:r/>
    </w:p>
    <w:p>
      <w:pPr>
        <w:jc w:val="center"/>
        <w:spacing w:line="360" w:lineRule="auto"/>
        <w:rPr>
          <w:rFonts w:hint="eastAsia" w:ascii="黑体" w:eastAsia="黑体"/>
          <w:color w:val="auto"/>
          <w:sz w:val="82"/>
          <w:szCs w:val="72"/>
          <w:highlight w:val="none"/>
        </w:rPr>
      </w:pPr>
      <w:r/>
      <w:bookmarkStart w:id="140" w:name="_GoBack"/>
      <w:r/>
      <w:bookmarkEnd w:id="140"/>
      <w:r>
        <w:rPr>
          <w:rFonts w:hint="eastAsia" w:ascii="黑体" w:eastAsia="黑体"/>
          <w:color w:val="auto"/>
          <w:sz w:val="82"/>
          <w:szCs w:val="72"/>
          <w:highlight w:val="none"/>
        </w:rPr>
        <w:t xml:space="preserve">招  标  文  件</w:t>
      </w:r>
      <w:r/>
    </w:p>
    <w:p>
      <w:pPr>
        <w:jc w:val="left"/>
        <w:spacing w:line="360" w:lineRule="auto"/>
        <w:rPr>
          <w:rFonts w:hint="eastAsia" w:ascii="华文楷体" w:eastAsia="华文楷体"/>
          <w:color w:val="auto"/>
          <w:sz w:val="36"/>
          <w:szCs w:val="36"/>
          <w:highlight w:val="none"/>
        </w:rPr>
      </w:pPr>
      <w:r>
        <w:rPr>
          <w:rFonts w:hint="eastAsia" w:ascii="华文楷体" w:eastAsia="华文楷体"/>
          <w:color w:val="auto"/>
          <w:sz w:val="36"/>
          <w:szCs w:val="36"/>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tbl>
      <w:tblPr>
        <w:tblStyle w:val="671"/>
        <w:tblW w:w="0" w:type="auto"/>
        <w:jc w:val="center"/>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eastAsia="zh-CN"/>
              </w:rPr>
              <w:t xml:space="preserve">盐城市中医院</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购代理机构：</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江苏弘业国际技术工程有限公司</w:t>
            </w:r>
            <w:r/>
          </w:p>
        </w:tc>
      </w:tr>
      <w:tr>
        <w:trPr>
          <w:jc w:val="center"/>
        </w:trPr>
        <w:tc>
          <w:tcPr>
            <w:tcBorders>
              <w:top w:val="none" w:color="000000" w:sz="4" w:space="0"/>
              <w:left w:val="none" w:color="000000" w:sz="4" w:space="0"/>
              <w:bottom w:val="none" w:color="000000" w:sz="4" w:space="0"/>
              <w:right w:val="none" w:color="000000" w:sz="4" w:space="0"/>
            </w:tcBorders>
            <w:tcW w:w="2348" w:type="dxa"/>
            <w:vAlign w:val="top"/>
            <w:textDirection w:val="lrTb"/>
            <w:noWrap w:val="false"/>
          </w:tcPr>
          <w:p>
            <w:pPr>
              <w:spacing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454" w:type="dxa"/>
            <w:vAlign w:val="top"/>
            <w:textDirection w:val="lrTb"/>
            <w:noWrap w:val="false"/>
          </w:tcPr>
          <w:p>
            <w:pPr>
              <w:spacing w:line="360" w:lineRule="auto"/>
              <w:rPr>
                <w:rFonts w:hint="eastAsia" w:ascii="黑体" w:hAnsi="黑体" w:eastAsia="黑体" w:cs="黑体"/>
                <w:b/>
                <w:bCs/>
                <w:color w:val="auto"/>
                <w:sz w:val="32"/>
                <w:szCs w:val="32"/>
                <w:highlight w:val="none"/>
              </w:rPr>
            </w:pPr>
            <w:r/>
            <w:bookmarkStart w:id="0" w:name="EB011e21966a4746ceac4488705cfdd813"/>
            <w:r>
              <w:rPr>
                <w:rFonts w:hint="eastAsia" w:ascii="黑体" w:hAnsi="黑体" w:eastAsia="黑体" w:cs="黑体"/>
                <w:b/>
                <w:bCs/>
                <w:color w:val="auto"/>
                <w:sz w:val="32"/>
                <w:szCs w:val="32"/>
                <w:highlight w:val="none"/>
              </w:rPr>
              <w:t xml:space="preserve">202</w:t>
            </w:r>
            <w:r>
              <w:rPr>
                <w:rFonts w:hint="eastAsia" w:ascii="黑体" w:hAnsi="黑体" w:eastAsia="黑体" w:cs="黑体"/>
                <w:b/>
                <w:bCs/>
                <w:color w:val="auto"/>
                <w:sz w:val="32"/>
                <w:szCs w:val="32"/>
                <w:highlight w:val="none"/>
                <w:lang w:val="en-US" w:eastAsia="zh-CN"/>
              </w:rPr>
              <w:t xml:space="preserve">5</w:t>
            </w:r>
            <w:r>
              <w:rPr>
                <w:rFonts w:hint="eastAsia" w:ascii="黑体" w:hAnsi="黑体" w:eastAsia="黑体" w:cs="黑体"/>
                <w:b/>
                <w:bCs/>
                <w:color w:val="auto"/>
                <w:sz w:val="32"/>
                <w:szCs w:val="32"/>
                <w:highlight w:val="none"/>
              </w:rPr>
              <w:t xml:space="preserve">年</w:t>
            </w:r>
            <w:r>
              <w:rPr>
                <w:rFonts w:hint="eastAsia" w:ascii="黑体" w:hAnsi="黑体" w:eastAsia="黑体" w:cs="黑体"/>
                <w:b/>
                <w:bCs/>
                <w:color w:val="auto"/>
                <w:sz w:val="32"/>
                <w:szCs w:val="32"/>
                <w:highlight w:val="none"/>
                <w:lang w:val="en-US" w:eastAsia="zh-CN"/>
              </w:rPr>
              <w:t xml:space="preserve">12</w:t>
            </w:r>
            <w:r>
              <w:rPr>
                <w:rFonts w:hint="eastAsia" w:ascii="黑体" w:hAnsi="黑体" w:eastAsia="黑体" w:cs="黑体"/>
                <w:b/>
                <w:bCs/>
                <w:color w:val="auto"/>
                <w:sz w:val="32"/>
                <w:szCs w:val="32"/>
                <w:highlight w:val="none"/>
              </w:rPr>
              <w:t xml:space="preserve">月</w:t>
            </w:r>
            <w:bookmarkEnd w:id="0"/>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pStyle w:val="844"/>
        <w:spacing w:line="360" w:lineRule="auto"/>
        <w:tabs>
          <w:tab w:val="left" w:pos="6527" w:leader="none"/>
        </w:tabs>
        <w:rPr>
          <w:rFonts w:hint="eastAsia"/>
          <w:color w:val="auto"/>
          <w:highlight w:val="none"/>
        </w:rPr>
      </w:pPr>
      <w:r/>
      <w:bookmarkStart w:id="1" w:name="EB06f4f849a067447382c5c19bd1747a07"/>
      <w:r>
        <w:rPr>
          <w:rFonts w:hint="eastAsia"/>
          <w:color w:val="auto"/>
          <w:sz w:val="20"/>
          <w:highlight w:val="none"/>
        </w:rPr>
        <w:t xml:space="preserve"> </w:t>
      </w:r>
      <w:bookmarkEnd w:id="1"/>
      <w:r>
        <w:rPr>
          <w:rFonts w:hint="eastAsia"/>
          <w:color w:val="auto"/>
          <w:highlight w:val="none"/>
        </w:rPr>
        <w:tab/>
      </w:r>
      <w:r/>
    </w:p>
    <w:p>
      <w:pPr>
        <w:jc w:val="center"/>
        <w:spacing w:line="360" w:lineRule="auto"/>
        <w:rPr>
          <w:rFonts w:hint="eastAsia" w:eastAsia="仿宋_GB2312"/>
          <w:color w:val="auto"/>
          <w:sz w:val="22"/>
          <w:szCs w:val="24"/>
          <w:highlight w:val="none"/>
        </w:rPr>
      </w:pPr>
      <w:r>
        <w:rPr>
          <w:rFonts w:ascii="宋体" w:hAnsi="宋体"/>
          <w:b/>
          <w:bCs/>
          <w:color w:val="auto"/>
          <w:sz w:val="28"/>
          <w:szCs w:val="32"/>
          <w:highlight w:val="none"/>
        </w:rPr>
        <w:t xml:space="preserve">目</w:t>
      </w:r>
      <w:r>
        <w:rPr>
          <w:rFonts w:hint="eastAsia" w:ascii="宋体" w:hAnsi="宋体"/>
          <w:b/>
          <w:bCs/>
          <w:color w:val="auto"/>
          <w:sz w:val="28"/>
          <w:szCs w:val="32"/>
          <w:highlight w:val="none"/>
        </w:rPr>
        <w:t xml:space="preserve"> </w:t>
      </w:r>
      <w:r>
        <w:rPr>
          <w:rFonts w:hint="eastAsia" w:ascii="宋体" w:hAnsi="宋体"/>
          <w:b/>
          <w:bCs/>
          <w:color w:val="auto"/>
          <w:sz w:val="28"/>
          <w:szCs w:val="32"/>
          <w:highlight w:val="none"/>
          <w:lang w:val="en-US" w:eastAsia="zh-CN"/>
        </w:rPr>
        <w:t xml:space="preserve"> </w:t>
      </w:r>
      <w:r>
        <w:rPr>
          <w:rFonts w:hint="eastAsia" w:ascii="宋体" w:hAnsi="宋体"/>
          <w:b/>
          <w:bCs/>
          <w:color w:val="auto"/>
          <w:sz w:val="28"/>
          <w:szCs w:val="32"/>
          <w:highlight w:val="none"/>
        </w:rPr>
        <w:t xml:space="preserve"> </w:t>
      </w:r>
      <w:r>
        <w:rPr>
          <w:rFonts w:ascii="宋体" w:hAnsi="宋体"/>
          <w:b/>
          <w:bCs/>
          <w:color w:val="auto"/>
          <w:sz w:val="28"/>
          <w:szCs w:val="32"/>
          <w:highlight w:val="none"/>
        </w:rPr>
        <w:t xml:space="preserve">录</w:t>
      </w:r>
      <w:r/>
    </w:p>
    <w:p>
      <w:pPr>
        <w:pStyle w:val="845"/>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_Toc14268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第一部分  招标公告</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PAGEREF _Toc14268 \h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3</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rPr>
        <w:fldChar w:fldCharType="end"/>
      </w:r>
      <w:r/>
    </w:p>
    <w:p>
      <w:pPr>
        <w:pStyle w:val="845"/>
        <w:jc w:val="center"/>
        <w:spacing w:line="360" w:lineRule="auto"/>
        <w:tabs>
          <w:tab w:val="right" w:pos="8844" w:leader="dot"/>
        </w:tabs>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_Toc1881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第二部分  投标人须知</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7</w:t>
      </w:r>
      <w:r/>
    </w:p>
    <w:p>
      <w:pPr>
        <w:pStyle w:val="845"/>
        <w:jc w:val="center"/>
        <w:spacing w:line="360" w:lineRule="auto"/>
        <w:tabs>
          <w:tab w:val="right" w:pos="8844" w:leader="dot"/>
        </w:tabs>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_Toc22015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第三部分  评标方法和标准</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t xml:space="preserve">2</w:t>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w:t>
      </w:r>
      <w:r/>
    </w:p>
    <w:p>
      <w:pPr>
        <w:pStyle w:val="845"/>
        <w:jc w:val="center"/>
        <w:spacing w:line="360" w:lineRule="auto"/>
        <w:tabs>
          <w:tab w:val="right" w:pos="8844" w:leader="dot"/>
        </w:tabs>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_Toc1505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第四部分  采购需求</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29</w:t>
      </w:r>
      <w:r/>
    </w:p>
    <w:p>
      <w:pPr>
        <w:pStyle w:val="845"/>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_Toc9306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第五部分  合同格式及条款</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34</w:t>
      </w:r>
      <w:r/>
    </w:p>
    <w:p>
      <w:pPr>
        <w:pStyle w:val="845"/>
        <w:jc w:val="center"/>
        <w:spacing w:line="360" w:lineRule="auto"/>
        <w:tabs>
          <w:tab w:val="right" w:pos="8844" w:leader="dot"/>
        </w:tabs>
        <w:rPr>
          <w:rFonts w:hint="default" w:ascii="宋体" w:hAnsi="宋体" w:eastAsia="宋体" w:cs="宋体"/>
          <w:b/>
          <w:bCs w:val="0"/>
          <w:color w:val="auto"/>
          <w:sz w:val="24"/>
          <w:szCs w:val="24"/>
          <w:highlight w:val="none"/>
          <w:lang w:val="en-US"/>
        </w:rPr>
      </w:pPr>
      <w:r>
        <w:rPr>
          <w:rFonts w:hint="eastAsia" w:ascii="宋体" w:hAnsi="宋体" w:cs="宋体"/>
          <w:b/>
          <w:bCs w:val="0"/>
          <w:color w:val="auto"/>
          <w:sz w:val="24"/>
          <w:szCs w:val="24"/>
          <w:highlight w:val="none"/>
        </w:rPr>
        <w:fldChar w:fldCharType="begin"/>
      </w:r>
      <w:r>
        <w:rPr>
          <w:rFonts w:hint="eastAsia" w:ascii="宋体" w:hAnsi="宋体" w:cs="宋体"/>
          <w:b/>
          <w:bCs w:val="0"/>
          <w:color w:val="auto"/>
          <w:sz w:val="24"/>
          <w:szCs w:val="24"/>
          <w:highlight w:val="none"/>
        </w:rPr>
        <w:instrText xml:space="preserve"> HYPERLINK \l _Toc12366 </w:instrText>
      </w:r>
      <w:r>
        <w:rPr>
          <w:rFonts w:hint="eastAsia" w:ascii="宋体" w:hAnsi="宋体" w:cs="宋体"/>
          <w:b/>
          <w:bCs w:val="0"/>
          <w:color w:val="auto"/>
          <w:sz w:val="24"/>
          <w:szCs w:val="24"/>
          <w:highlight w:val="none"/>
        </w:rPr>
        <w:fldChar w:fldCharType="separate"/>
      </w:r>
      <w:r>
        <w:rPr>
          <w:rFonts w:hint="eastAsia" w:ascii="宋体" w:hAnsi="宋体" w:cs="宋体"/>
          <w:b/>
          <w:bCs w:val="0"/>
          <w:color w:val="auto"/>
          <w:sz w:val="24"/>
          <w:szCs w:val="24"/>
          <w:highlight w:val="none"/>
        </w:rPr>
        <w:t xml:space="preserve">第六部分  投标文件格式</w:t>
      </w:r>
      <w:r>
        <w:rPr>
          <w:rFonts w:hint="eastAsia" w:ascii="宋体" w:hAnsi="宋体" w:cs="宋体"/>
          <w:b/>
          <w:bCs w:val="0"/>
          <w:color w:val="auto"/>
          <w:sz w:val="24"/>
          <w:szCs w:val="24"/>
          <w:highlight w:val="none"/>
        </w:rPr>
        <w:tab/>
      </w:r>
      <w:r>
        <w:rPr>
          <w:rFonts w:hint="eastAsia" w:ascii="宋体" w:hAnsi="宋体" w:cs="宋体"/>
          <w:b/>
          <w:bCs w:val="0"/>
          <w:color w:val="auto"/>
          <w:sz w:val="24"/>
          <w:szCs w:val="24"/>
          <w:highlight w:val="none"/>
        </w:rPr>
        <w:fldChar w:fldCharType="end"/>
      </w:r>
      <w:r>
        <w:rPr>
          <w:rFonts w:hint="eastAsia" w:ascii="宋体" w:hAnsi="宋体" w:cs="宋体"/>
          <w:b/>
          <w:bCs w:val="0"/>
          <w:color w:val="auto"/>
          <w:sz w:val="24"/>
          <w:szCs w:val="24"/>
          <w:highlight w:val="none"/>
          <w:lang w:val="en-US" w:eastAsia="zh-CN"/>
        </w:rPr>
        <w:t xml:space="preserve">38</w:t>
      </w:r>
      <w:r/>
    </w:p>
    <w:p>
      <w:pPr>
        <w:pStyle w:val="846"/>
        <w:ind w:left="420"/>
        <w:spacing w:line="360" w:lineRule="auto"/>
        <w:tabs>
          <w:tab w:val="right" w:pos="8844" w:leader="dot"/>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r>
      <w:r/>
    </w:p>
    <w:p>
      <w:pPr>
        <w:jc w:val="left"/>
        <w:spacing w:line="360" w:lineRule="auto"/>
        <w:tabs>
          <w:tab w:val="left" w:pos="5655" w:leader="none"/>
        </w:tabs>
        <w:rPr>
          <w:rFonts w:hint="eastAsia"/>
          <w:color w:val="auto"/>
          <w:highlight w:val="none"/>
        </w:rPr>
      </w:pPr>
      <w:r>
        <w:rPr>
          <w:rFonts w:hint="eastAsia"/>
          <w:color w:val="auto"/>
          <w:highlight w:val="none"/>
        </w:rPr>
        <w:tab/>
      </w:r>
      <w:r/>
    </w:p>
    <w:p>
      <w:pPr>
        <w:rPr>
          <w:rFonts w:hint="eastAsia"/>
          <w:color w:val="auto"/>
          <w:highlight w:val="none"/>
        </w:rPr>
      </w:pPr>
      <w:r>
        <w:rPr>
          <w:rFonts w:hint="eastAsia"/>
          <w:color w:val="auto"/>
          <w:highlight w:val="none"/>
        </w:rPr>
        <w:br w:type="page" w:clear="all"/>
      </w:r>
      <w:r/>
    </w:p>
    <w:p>
      <w:pPr>
        <w:jc w:val="left"/>
        <w:spacing w:line="360" w:lineRule="auto"/>
        <w:tabs>
          <w:tab w:val="left" w:pos="5655" w:leader="none"/>
        </w:tabs>
        <w:rPr>
          <w:rFonts w:hint="eastAsia"/>
          <w:color w:val="auto"/>
          <w:highlight w:val="none"/>
        </w:rPr>
      </w:pPr>
      <w:r>
        <w:rPr>
          <w:rFonts w:hint="eastAsia"/>
          <w:color w:val="auto"/>
          <w:highlight w:val="none"/>
        </w:rPr>
      </w:r>
      <w:r/>
    </w:p>
    <w:p>
      <w:pPr>
        <w:jc w:val="center"/>
        <w:keepLines/>
        <w:keepNext/>
        <w:pageBreakBefore w:val="0"/>
        <w:spacing w:line="360" w:lineRule="auto"/>
        <w:rPr>
          <w:b/>
          <w:color w:val="auto"/>
          <w:sz w:val="32"/>
          <w:highlight w:val="none"/>
        </w:rPr>
        <w:outlineLvl w:val="0"/>
      </w:pPr>
      <w:r>
        <w:rPr>
          <w:rFonts w:hint="eastAsia" w:ascii="宋体" w:hAnsi="宋体" w:cs="宋体"/>
          <w:b/>
          <w:color w:val="auto"/>
          <w:sz w:val="24"/>
          <w:szCs w:val="24"/>
          <w:highlight w:val="none"/>
        </w:rPr>
        <w:fldChar w:fldCharType="end"/>
      </w:r>
      <w:bookmarkStart w:id="2" w:name="_Toc514054470"/>
      <w:r/>
      <w:bookmarkStart w:id="3" w:name="_Toc14268"/>
      <w:r>
        <w:rPr>
          <w:rFonts w:hint="eastAsia"/>
          <w:b/>
          <w:color w:val="auto"/>
          <w:sz w:val="44"/>
          <w:szCs w:val="44"/>
          <w:highlight w:val="none"/>
        </w:rPr>
        <w:t xml:space="preserve">第一部分  招标公告</w:t>
      </w:r>
      <w:bookmarkEnd w:id="2"/>
      <w:r/>
      <w:bookmarkEnd w:id="3"/>
      <w:r/>
      <w:r/>
    </w:p>
    <w:tbl>
      <w:tblPr>
        <w:tblStyle w:val="671"/>
        <w:tblW w:w="9241"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vAlign w:val="top"/>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 盐城市中医院美容科医用激光仪器采购项目</w:t>
            </w:r>
            <w:r>
              <w:rPr>
                <w:rFonts w:hint="eastAsia" w:ascii="宋体" w:hAnsi="宋体" w:cs="宋体"/>
                <w:color w:val="auto"/>
                <w:sz w:val="24"/>
                <w:szCs w:val="24"/>
                <w:highlight w:val="none"/>
              </w:rPr>
              <w:t xml:space="preserve">的潜在投标人应在“苏采云”系统内免费下载（投标人必须在苏采云系统中获取采购文件，方能参与政府采购项目）获取招标文件，并于</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点</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rPr>
              <w:t xml:space="preserve">（北京时间）前递交投标文件。</w:t>
            </w:r>
            <w:r/>
          </w:p>
        </w:tc>
      </w:tr>
    </w:tbl>
    <w:p>
      <w:pPr>
        <w:pStyle w:val="847"/>
        <w:ind w:firstLine="482"/>
        <w:spacing w:line="360" w:lineRule="auto"/>
        <w:tabs>
          <w:tab w:val="left" w:pos="1134" w:leader="none"/>
          <w:tab w:val="left" w:pos="5612" w:leader="none"/>
        </w:tabs>
        <w:rPr>
          <w:rFonts w:hint="eastAsia" w:ascii="宋体" w:hAnsi="宋体" w:cs="宋体"/>
          <w:color w:val="auto"/>
          <w:sz w:val="24"/>
          <w:szCs w:val="24"/>
          <w:highlight w:val="none"/>
        </w:rPr>
        <w:outlineLvl w:val="1"/>
      </w:pPr>
      <w:r/>
      <w:bookmarkStart w:id="4" w:name="_Toc2298"/>
      <w:r>
        <w:rPr>
          <w:rFonts w:hint="eastAsia" w:ascii="宋体" w:hAnsi="宋体" w:cs="宋体"/>
          <w:b/>
          <w:bCs/>
          <w:color w:val="auto"/>
          <w:sz w:val="24"/>
          <w:szCs w:val="24"/>
          <w:highlight w:val="none"/>
        </w:rPr>
        <w:t xml:space="preserve">一、项目基本情况</w:t>
      </w:r>
      <w:bookmarkEnd w:id="4"/>
      <w:r>
        <w:rPr>
          <w:rFonts w:hint="eastAsia" w:ascii="宋体" w:hAnsi="宋体" w:cs="宋体"/>
          <w:b/>
          <w:bCs/>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847"/>
        <w:ind w:firstLine="720"/>
        <w:spacing w:line="360" w:lineRule="auto"/>
        <w:tabs>
          <w:tab w:val="left" w:pos="1134"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JSZC-320900-JSHY-G2025-0490</w:t>
      </w:r>
      <w:r/>
    </w:p>
    <w:p>
      <w:pPr>
        <w:pStyle w:val="847"/>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盐城市中医院美容科医用激光仪器采购项目</w:t>
      </w:r>
      <w:r/>
    </w:p>
    <w:p>
      <w:pPr>
        <w:pStyle w:val="847"/>
        <w:ind w:firstLine="720"/>
        <w:spacing w:line="360" w:lineRule="auto"/>
        <w:tabs>
          <w:tab w:val="left" w:pos="1134"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335</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   </w:t>
      </w:r>
      <w:r/>
    </w:p>
    <w:p>
      <w:pPr>
        <w:pStyle w:val="847"/>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r>
        <w:rPr>
          <w:rFonts w:hint="eastAsia" w:ascii="宋体" w:hAnsi="宋体" w:cs="宋体"/>
          <w:color w:val="auto"/>
          <w:sz w:val="24"/>
          <w:szCs w:val="24"/>
          <w:highlight w:val="none"/>
          <w:lang w:val="en-US" w:eastAsia="zh-CN"/>
        </w:rPr>
        <w:t xml:space="preserve">（本项目共一个标段）</w:t>
      </w:r>
      <w:r/>
    </w:p>
    <w:tbl>
      <w:tblPr>
        <w:tblStyle w:val="671"/>
        <w:tblW w:w="857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24"/>
        <w:gridCol w:w="2348"/>
        <w:gridCol w:w="992"/>
        <w:gridCol w:w="1384"/>
        <w:gridCol w:w="1524"/>
        <w:gridCol w:w="1404"/>
      </w:tblGrid>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预算金额</w:t>
            </w:r>
            <w:r/>
          </w:p>
        </w:tc>
        <w:tc>
          <w:tcPr>
            <w:shd w:val="clear" w:color="auto" w:fill="auto"/>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最高限价</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是否接受进口产品</w:t>
            </w:r>
            <w:r/>
          </w:p>
        </w:tc>
      </w:tr>
      <w:tr>
        <w:trPr>
          <w:jc w:val="center"/>
          <w:trHeight w:val="623"/>
        </w:trPr>
        <w:tc>
          <w:tcPr>
            <w:shd w:val="clear" w:color="auto" w:fill="auto"/>
            <w:tcBorders>
              <w:top w:val="single" w:color="000000" w:sz="4" w:space="0"/>
              <w:left w:val="single" w:color="000000" w:sz="4" w:space="0"/>
              <w:right w:val="single" w:color="000000" w:sz="4" w:space="0"/>
            </w:tcBorders>
            <w:tcW w:w="924" w:type="dxa"/>
            <w:vAlign w:val="center"/>
            <w:vMerge w:val="restart"/>
            <w:textDirection w:val="lrTb"/>
            <w:noWrap/>
          </w:tcPr>
          <w:p>
            <w:pPr>
              <w:jc w:val="center"/>
              <w:keepLines w:val="0"/>
              <w:keepNext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激光和强脉冲光工作站</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default" w:ascii="宋体" w:hAnsi="宋体" w:eastAsia="宋体" w:cs="宋体"/>
                <w:i w:val="0"/>
                <w:iCs w:val="0"/>
                <w:color w:val="auto"/>
                <w:sz w:val="24"/>
                <w:szCs w:val="24"/>
                <w:u w:val="none"/>
                <w:lang w:val="en-US" w:eastAsia="zh-CN" w:bidi="ar"/>
              </w:rPr>
            </w:pPr>
            <w:r>
              <w:rPr>
                <w:rFonts w:hint="eastAsia"/>
                <w:color w:val="auto"/>
                <w:vertAlign w:val="baseline"/>
                <w:lang w:val="en-US" w:eastAsia="zh-CN"/>
              </w:rPr>
              <w:t xml:space="preserve">1台</w:t>
            </w:r>
            <w:r/>
          </w:p>
        </w:tc>
        <w:tc>
          <w:tcPr>
            <w:shd w:val="clear" w:color="auto" w:fill="auto"/>
            <w:tcBorders>
              <w:top w:val="single" w:color="000000" w:sz="4" w:space="0"/>
              <w:left w:val="single" w:color="000000" w:sz="4" w:space="0"/>
              <w:right w:val="single" w:color="000000" w:sz="4" w:space="0"/>
            </w:tcBorders>
            <w:tcW w:w="1384" w:type="dxa"/>
            <w:vAlign w:val="center"/>
            <w:vMerge w:val="restart"/>
            <w:textDirection w:val="lrTb"/>
            <w:noWrap/>
          </w:tcPr>
          <w:p>
            <w:pPr>
              <w:jc w:val="center"/>
              <w:spacing w:line="360" w:lineRule="auto"/>
              <w:rPr>
                <w:rFonts w:hint="eastAsia" w:ascii="宋体" w:hAnsi="宋体" w:eastAsia="宋体" w:cs="宋体"/>
                <w:i w:val="0"/>
                <w:iCs w:val="0"/>
                <w:color w:val="auto"/>
                <w:sz w:val="24"/>
                <w:szCs w:val="24"/>
                <w:u w:val="none"/>
              </w:rPr>
            </w:pPr>
            <w:r>
              <w:rPr>
                <w:rFonts w:hint="eastAsia" w:ascii="宋体" w:hAnsi="宋体" w:cs="宋体"/>
                <w:color w:val="auto"/>
                <w:sz w:val="24"/>
                <w:szCs w:val="24"/>
                <w:highlight w:val="none"/>
                <w:lang w:val="en-US" w:eastAsia="zh-CN"/>
              </w:rPr>
              <w:t xml:space="preserve">335</w:t>
            </w:r>
            <w:r>
              <w:rPr>
                <w:rFonts w:hint="eastAsia" w:ascii="宋体" w:hAnsi="宋体" w:cs="宋体"/>
                <w:color w:val="auto"/>
                <w:sz w:val="24"/>
                <w:szCs w:val="24"/>
                <w:highlight w:val="none"/>
              </w:rPr>
              <w:t xml:space="preserve">万元</w:t>
            </w:r>
            <w:r/>
          </w:p>
        </w:tc>
        <w:tc>
          <w:tcPr>
            <w:shd w:val="clear" w:color="auto" w:fill="auto"/>
            <w:tcBorders>
              <w:top w:val="single" w:color="000000" w:sz="4" w:space="0"/>
              <w:left w:val="single" w:color="000000" w:sz="4" w:space="0"/>
              <w:right w:val="single" w:color="000000" w:sz="4" w:space="0"/>
            </w:tcBorders>
            <w:tcW w:w="1524" w:type="dxa"/>
            <w:vAlign w:val="center"/>
            <w:vMerge w:val="restart"/>
            <w:textDirection w:val="lrTb"/>
            <w:noWrap/>
          </w:tcPr>
          <w:p>
            <w:pPr>
              <w:jc w:val="center"/>
              <w:spacing w:line="360" w:lineRule="auto"/>
              <w:rPr>
                <w:rFonts w:hint="eastAsia" w:ascii="宋体" w:hAnsi="宋体" w:eastAsia="宋体" w:cs="宋体"/>
                <w:i w:val="0"/>
                <w:iCs w:val="0"/>
                <w:color w:val="auto"/>
                <w:sz w:val="24"/>
                <w:szCs w:val="24"/>
                <w:u w:val="none"/>
              </w:rPr>
            </w:pPr>
            <w:r>
              <w:rPr>
                <w:rFonts w:hint="eastAsia" w:ascii="宋体" w:hAnsi="宋体" w:cs="宋体"/>
                <w:color w:val="auto"/>
                <w:sz w:val="24"/>
                <w:szCs w:val="24"/>
                <w:highlight w:val="none"/>
                <w:lang w:val="en-US" w:eastAsia="zh-CN"/>
              </w:rPr>
              <w:t xml:space="preserve">335</w:t>
            </w:r>
            <w:r>
              <w:rPr>
                <w:rFonts w:hint="eastAsia" w:ascii="宋体" w:hAnsi="宋体" w:cs="宋体"/>
                <w:color w:val="auto"/>
                <w:sz w:val="24"/>
                <w:szCs w:val="24"/>
                <w:highlight w:val="none"/>
              </w:rPr>
              <w:t xml:space="preserve">万元</w:t>
            </w:r>
            <w:r/>
          </w:p>
        </w:tc>
        <w:tc>
          <w:tcPr>
            <w:shd w:val="clear" w:color="auto" w:fill="auto"/>
            <w:tcBorders>
              <w:top w:val="single" w:color="000000" w:sz="4" w:space="0"/>
              <w:left w:val="single" w:color="000000" w:sz="4" w:space="0"/>
              <w:right w:val="single" w:color="000000" w:sz="4" w:space="0"/>
            </w:tcBorders>
            <w:tcW w:w="1404" w:type="dxa"/>
            <w:vAlign w:val="center"/>
            <w:vMerge w:val="restart"/>
            <w:textDirection w:val="lrTb"/>
            <w:noWrap/>
          </w:tcPr>
          <w:p>
            <w:pPr>
              <w:jc w:val="center"/>
              <w:keepLines w:val="0"/>
              <w:keepNext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是</w:t>
            </w:r>
            <w:r/>
          </w:p>
        </w:tc>
      </w:tr>
      <w:tr>
        <w:trPr>
          <w:jc w:val="center"/>
          <w:trHeight w:val="573"/>
        </w:trPr>
        <w:tc>
          <w:tcPr>
            <w:shd w:val="clear" w:color="auto" w:fill="auto"/>
            <w:tcBorders>
              <w:left w:val="single" w:color="000000" w:sz="4" w:space="0"/>
              <w:bottom w:val="single" w:color="000000" w:sz="4" w:space="0"/>
              <w:right w:val="single" w:color="000000" w:sz="4" w:space="0"/>
            </w:tcBorders>
            <w:tcW w:w="924" w:type="dxa"/>
            <w:vAlign w:val="center"/>
            <w:vMerge w:val="continue"/>
            <w:textDirection w:val="lrTb"/>
            <w:noWrap/>
          </w:tcPr>
          <w:p>
            <w:pPr>
              <w:jc w:val="center"/>
              <w:keepLines w:val="0"/>
              <w:keepNext w:val="0"/>
              <w:spacing w:line="36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348" w:type="dxa"/>
            <w:vAlign w:val="center"/>
            <w:textDirection w:val="lrTb"/>
            <w:noWrap w:val="false"/>
          </w:tcPr>
          <w:p>
            <w:pPr>
              <w:jc w:val="center"/>
              <w:keepLines w:val="0"/>
              <w:keepNext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皮秒激光治疗仪</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宋体" w:hAnsi="宋体" w:cs="宋体"/>
                <w:i w:val="0"/>
                <w:iCs w:val="0"/>
                <w:color w:val="auto"/>
                <w:sz w:val="24"/>
                <w:szCs w:val="24"/>
                <w:u w:val="none"/>
                <w:lang w:val="en-US" w:eastAsia="zh-CN" w:bidi="ar"/>
              </w:rPr>
            </w:pPr>
            <w:r>
              <w:rPr>
                <w:rFonts w:hint="eastAsia"/>
                <w:color w:val="auto"/>
                <w:vertAlign w:val="baseline"/>
                <w:lang w:val="en-US" w:eastAsia="zh-CN"/>
              </w:rPr>
              <w:t xml:space="preserve">1台</w:t>
            </w:r>
            <w:r/>
          </w:p>
        </w:tc>
        <w:tc>
          <w:tcPr>
            <w:shd w:val="clear" w:color="auto" w:fill="auto"/>
            <w:tcBorders>
              <w:left w:val="single" w:color="000000" w:sz="4" w:space="0"/>
              <w:bottom w:val="single" w:color="000000" w:sz="4" w:space="0"/>
              <w:right w:val="single" w:color="000000" w:sz="4" w:space="0"/>
            </w:tcBorders>
            <w:tcW w:w="1384" w:type="dxa"/>
            <w:vAlign w:val="center"/>
            <w:vMerge w:val="continue"/>
            <w:textDirection w:val="lrTb"/>
            <w:noWrap/>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Borders>
              <w:left w:val="single" w:color="000000" w:sz="4" w:space="0"/>
              <w:bottom w:val="single" w:color="000000" w:sz="4" w:space="0"/>
              <w:right w:val="single" w:color="000000" w:sz="4" w:space="0"/>
            </w:tcBorders>
            <w:tcW w:w="1524" w:type="dxa"/>
            <w:vAlign w:val="center"/>
            <w:vMerge w:val="continue"/>
            <w:textDirection w:val="lrTb"/>
            <w:noWrap/>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Borders>
              <w:left w:val="single" w:color="000000" w:sz="4" w:space="0"/>
              <w:bottom w:val="single" w:color="000000" w:sz="4" w:space="0"/>
              <w:right w:val="single" w:color="000000" w:sz="4" w:space="0"/>
            </w:tcBorders>
            <w:tcW w:w="1404" w:type="dxa"/>
            <w:vAlign w:val="center"/>
            <w:vMerge w:val="continue"/>
            <w:textDirection w:val="lrTb"/>
            <w:noWrap/>
          </w:tcPr>
          <w:p>
            <w:pPr>
              <w:jc w:val="center"/>
              <w:keepLines w:val="0"/>
              <w:keepNext w:val="0"/>
              <w:spacing w:line="36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r>
            <w:r/>
          </w:p>
        </w:tc>
      </w:tr>
    </w:tbl>
    <w:p>
      <w:pPr>
        <w:pStyle w:val="847"/>
        <w:ind w:left="0"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采购需求:详见采购文件</w:t>
      </w:r>
      <w:r/>
    </w:p>
    <w:p>
      <w:pPr>
        <w:pStyle w:val="847"/>
        <w:ind w:firstLine="72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合同履行期限：详见采购文件</w:t>
      </w:r>
      <w:r/>
    </w:p>
    <w:p>
      <w:pPr>
        <w:pStyle w:val="847"/>
        <w:ind w:firstLine="720"/>
        <w:spacing w:line="360" w:lineRule="auto"/>
        <w:tabs>
          <w:tab w:val="left" w:pos="1134" w:leader="none"/>
        </w:tabs>
        <w:rPr>
          <w:rFonts w:hint="eastAsia" w:ascii="宋体" w:hAnsi="宋体" w:cs="宋体"/>
          <w:color w:val="auto"/>
          <w:sz w:val="24"/>
          <w:szCs w:val="24"/>
          <w:highlight w:val="none"/>
        </w:rPr>
      </w:pPr>
      <w:r/>
      <w:bookmarkStart w:id="5" w:name="_Toc3038"/>
      <w:r>
        <w:rPr>
          <w:rFonts w:hint="eastAsia" w:ascii="宋体" w:hAnsi="宋体" w:cs="宋体"/>
          <w:color w:val="auto"/>
          <w:sz w:val="24"/>
          <w:szCs w:val="24"/>
          <w:highlight w:val="none"/>
        </w:rPr>
        <w:t xml:space="preserve">本项目（是/否）接受联合体投标：不接受联合体</w:t>
      </w:r>
      <w:r/>
    </w:p>
    <w:p>
      <w:pPr>
        <w:pStyle w:val="847"/>
        <w:ind w:firstLine="480"/>
        <w:spacing w:line="360" w:lineRule="auto"/>
        <w:tabs>
          <w:tab w:val="left" w:pos="1134"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二、申请人的资格要求</w:t>
      </w:r>
      <w:bookmarkEnd w:id="5"/>
      <w:r/>
      <w:r/>
    </w:p>
    <w:p>
      <w:pPr>
        <w:pStyle w:val="848"/>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1.满足《中华人民共和国政府采购法》第二十二条规定：</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1）具有独立承担民事责任的能力（提供法人或者其他组织的营业执照等证明文件；供应商为自然人的，提供其身份证）。</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2）具有良好的商业信誉和健全的财务会计制度（提供2023年度</w:t>
      </w:r>
      <w:r>
        <w:rPr>
          <w:rFonts w:hint="eastAsia" w:ascii="宋体" w:hAnsi="宋体" w:cs="宋体"/>
          <w:color w:val="auto"/>
          <w:sz w:val="24"/>
          <w:szCs w:val="24"/>
          <w:highlight w:val="none"/>
          <w:lang w:val="en-US" w:eastAsia="zh-CN"/>
        </w:rPr>
        <w:t xml:space="preserve">或2024年度</w:t>
      </w:r>
      <w:r>
        <w:rPr>
          <w:rFonts w:hint="eastAsia" w:ascii="宋体" w:hAnsi="宋体" w:cs="宋体"/>
          <w:color w:val="auto"/>
          <w:sz w:val="24"/>
          <w:szCs w:val="24"/>
          <w:highlight w:val="none"/>
        </w:rPr>
        <w:t xml:space="preserve">财务报告，至少包含资产负债表、利润表，或投标截止时间前六个月内银行出具的资信证明，成立不满一年的无须提供）。</w:t>
      </w:r>
      <w:r/>
    </w:p>
    <w:p>
      <w:pPr>
        <w:ind w:left="119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3）具有履行合同所必需的设备和专业技术能力（供应商根据履行采购项目合同需要，提供履行合同所必需的设备和专业技术能力的声明函或证明材料）。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rPr>
          <w:rFonts w:hint="eastAsia" w:ascii="宋体" w:hAnsi="宋体" w:cs="宋体"/>
          <w:color w:val="auto"/>
          <w:sz w:val="24"/>
          <w:szCs w:val="24"/>
          <w:highlight w:val="none"/>
          <w:lang w:eastAsia="zh-CN"/>
        </w:rPr>
        <w:t xml:space="preserve">提供2024年8月至今</w:t>
      </w:r>
      <w:r>
        <w:rPr>
          <w:rFonts w:hint="eastAsia" w:ascii="宋体" w:hAnsi="宋体" w:cs="宋体"/>
          <w:color w:val="auto"/>
          <w:sz w:val="24"/>
          <w:szCs w:val="24"/>
          <w:highlight w:val="none"/>
        </w:rPr>
        <w:t xml:space="preserve">）中任一月份的依法缴纳税收和社会保险费的相关材料（提供相关主管部门证明或银行代扣证明的复印件，根据国家相关政策免缴或迟缴的需提供相关证明材料）。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5）参加政府采购活动前三年内，在经营活动中没有重大违法记录（提供承诺书）。</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13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8)单位负责人为同一人或者存在直接控股、管理关系的不同供应商，不得参加同一合同项下的政府采购活动。</w:t>
      </w:r>
      <w:r/>
    </w:p>
    <w:p>
      <w:pPr>
        <w:pStyle w:val="844"/>
        <w:ind w:right="476" w:firstLine="720"/>
        <w:spacing w:before="1"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2.落实政府采购政策满足的资格要求：</w:t>
      </w:r>
      <w:r/>
    </w:p>
    <w:p>
      <w:pPr>
        <w:pStyle w:val="844"/>
        <w:ind w:left="718" w:right="474" w:firstLine="480"/>
        <w:spacing w:before="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采购文件</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提供《中小企业声明函》。</w:t>
      </w:r>
      <w:r/>
    </w:p>
    <w:p>
      <w:pPr>
        <w:pStyle w:val="848"/>
        <w:ind w:firstLine="720"/>
        <w:spacing w:line="360"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3.本项目的特定资格要求：</w:t>
      </w:r>
      <w:r/>
    </w:p>
    <w:p>
      <w:pPr>
        <w:pStyle w:val="848"/>
        <w:ind w:firstLine="1060"/>
        <w:spacing w:line="360" w:lineRule="auto"/>
        <w:rPr>
          <w:rFonts w:hint="eastAsia" w:ascii="宋体" w:hAnsi="宋体" w:cs="宋体"/>
          <w:b w:val="0"/>
          <w:bCs w:val="0"/>
          <w:color w:val="auto"/>
          <w:sz w:val="24"/>
          <w:szCs w:val="24"/>
          <w:highlight w:val="none"/>
        </w:rPr>
        <w:outlineLvl w:val="2"/>
      </w:pPr>
      <w:r/>
      <w:bookmarkStart w:id="6" w:name="_Toc26697"/>
      <w:r>
        <w:rPr>
          <w:rFonts w:hint="eastAsia" w:ascii="宋体" w:hAnsi="宋体" w:cs="宋体"/>
          <w:b w:val="0"/>
          <w:bCs w:val="0"/>
          <w:color w:val="auto"/>
          <w:sz w:val="24"/>
          <w:szCs w:val="24"/>
          <w:highlight w:val="none"/>
        </w:rPr>
        <w:t xml:space="preserve">1）投标人具有所投产品医疗器械生产许可（或备案）证或经营许可（或备案）证。</w:t>
      </w:r>
      <w:r/>
    </w:p>
    <w:p>
      <w:pPr>
        <w:pStyle w:val="848"/>
        <w:ind w:firstLine="1060"/>
        <w:spacing w:line="360" w:lineRule="auto"/>
        <w:rPr>
          <w:rFonts w:hint="eastAsia" w:ascii="宋体" w:hAnsi="宋体" w:eastAsia="宋体" w:cs="宋体"/>
          <w:b w:val="0"/>
          <w:bCs w:val="0"/>
          <w:color w:val="auto"/>
          <w:sz w:val="24"/>
          <w:szCs w:val="24"/>
          <w:highlight w:val="none"/>
          <w:lang w:eastAsia="zh-CN"/>
        </w:rPr>
        <w:outlineLvl w:val="2"/>
      </w:pPr>
      <w:r>
        <w:rPr>
          <w:rFonts w:hint="eastAsia" w:ascii="宋体" w:hAnsi="宋体" w:cs="宋体"/>
          <w:b w:val="0"/>
          <w:bCs w:val="0"/>
          <w:color w:val="auto"/>
          <w:sz w:val="24"/>
          <w:szCs w:val="24"/>
          <w:highlight w:val="none"/>
        </w:rPr>
        <w:t xml:space="preserve">2）提供所投产品有效的医疗器械注册证</w:t>
      </w:r>
      <w:r>
        <w:rPr>
          <w:rFonts w:hint="eastAsia" w:ascii="宋体" w:hAnsi="宋体" w:eastAsia="宋体" w:cs="宋体"/>
          <w:b w:val="0"/>
          <w:bCs w:val="0"/>
          <w:color w:val="auto"/>
          <w:sz w:val="24"/>
          <w:szCs w:val="24"/>
          <w:highlight w:val="none"/>
          <w:lang w:eastAsia="zh-CN"/>
        </w:rPr>
        <w:t xml:space="preserve">。</w:t>
      </w:r>
      <w:r/>
    </w:p>
    <w:p>
      <w:pPr>
        <w:pStyle w:val="848"/>
        <w:ind w:firstLine="1060"/>
        <w:spacing w:line="360" w:lineRule="auto"/>
        <w:rPr>
          <w:rFonts w:hint="eastAsia" w:ascii="宋体" w:hAnsi="宋体" w:cs="宋体"/>
          <w:b w:val="0"/>
          <w:bCs w:val="0"/>
          <w:color w:val="auto"/>
          <w:sz w:val="24"/>
          <w:szCs w:val="24"/>
          <w:highlight w:val="none"/>
          <w:lang w:val="en-US" w:eastAsia="zh-CN"/>
        </w:rPr>
        <w:outlineLvl w:val="2"/>
      </w:pPr>
      <w:r>
        <w:rPr>
          <w:rFonts w:hint="eastAsia" w:ascii="宋体" w:hAnsi="宋体" w:cs="宋体"/>
          <w:b w:val="0"/>
          <w:bCs w:val="0"/>
          <w:color w:val="auto"/>
          <w:sz w:val="24"/>
          <w:szCs w:val="24"/>
          <w:highlight w:val="none"/>
          <w:lang w:val="en-US" w:eastAsia="zh-CN"/>
        </w:rPr>
        <w:t xml:space="preserve">3）投标货物如为进口产品，投标人须提供下列授权文件之一：</w:t>
      </w:r>
      <w:r/>
    </w:p>
    <w:p>
      <w:pPr>
        <w:pStyle w:val="848"/>
        <w:ind w:firstLine="1060"/>
        <w:spacing w:line="360" w:lineRule="auto"/>
        <w:rPr>
          <w:rFonts w:hint="eastAsia" w:ascii="宋体" w:hAnsi="宋体" w:cs="宋体"/>
          <w:b w:val="0"/>
          <w:bCs w:val="0"/>
          <w:color w:val="auto"/>
          <w:sz w:val="24"/>
          <w:szCs w:val="24"/>
          <w:highlight w:val="none"/>
          <w:lang w:val="en-US" w:eastAsia="zh-CN"/>
        </w:rPr>
        <w:outlineLvl w:val="2"/>
      </w:pPr>
      <w:r>
        <w:rPr>
          <w:rFonts w:hint="eastAsia" w:ascii="宋体" w:hAnsi="宋体" w:cs="宋体"/>
          <w:b w:val="0"/>
          <w:bCs w:val="0"/>
          <w:color w:val="auto"/>
          <w:sz w:val="24"/>
          <w:szCs w:val="24"/>
          <w:highlight w:val="none"/>
          <w:lang w:val="en-US" w:eastAsia="zh-CN"/>
        </w:rPr>
        <w:t xml:space="preserve">a.供应商须提供进口产品制造商出具的授权函加盖公章；</w:t>
      </w:r>
      <w:r/>
    </w:p>
    <w:p>
      <w:pPr>
        <w:pStyle w:val="848"/>
        <w:ind w:firstLine="1060"/>
        <w:spacing w:line="360" w:lineRule="auto"/>
        <w:rPr>
          <w:rFonts w:hint="eastAsia" w:ascii="宋体" w:hAnsi="宋体" w:cs="宋体"/>
          <w:b w:val="0"/>
          <w:bCs w:val="0"/>
          <w:color w:val="auto"/>
          <w:sz w:val="24"/>
          <w:szCs w:val="24"/>
          <w:highlight w:val="none"/>
          <w:lang w:val="en-US" w:eastAsia="zh-CN"/>
        </w:rPr>
        <w:outlineLvl w:val="2"/>
      </w:pPr>
      <w:r>
        <w:rPr>
          <w:rFonts w:hint="eastAsia" w:ascii="宋体" w:hAnsi="宋体" w:cs="宋体"/>
          <w:b w:val="0"/>
          <w:bCs w:val="0"/>
          <w:color w:val="auto"/>
          <w:sz w:val="24"/>
          <w:szCs w:val="24"/>
          <w:highlight w:val="none"/>
          <w:lang w:val="en-US" w:eastAsia="zh-CN"/>
        </w:rPr>
        <w:t xml:space="preserve">b.进口产品制造商对授权的区域代理商出具的授权函扫描件及该区域代理商对投标人出具的授权函扫描件加盖公章；</w:t>
      </w:r>
      <w:r/>
    </w:p>
    <w:p>
      <w:pPr>
        <w:pStyle w:val="848"/>
        <w:ind w:firstLine="1060"/>
        <w:spacing w:line="360" w:lineRule="auto"/>
        <w:rPr>
          <w:rFonts w:hint="eastAsia" w:ascii="宋体" w:hAnsi="宋体" w:cs="宋体"/>
          <w:b w:val="0"/>
          <w:bCs w:val="0"/>
          <w:color w:val="auto"/>
          <w:sz w:val="24"/>
          <w:szCs w:val="24"/>
          <w:highlight w:val="none"/>
          <w:lang w:val="en-US" w:eastAsia="zh-CN"/>
        </w:rPr>
        <w:outlineLvl w:val="2"/>
      </w:pPr>
      <w:r>
        <w:rPr>
          <w:rFonts w:hint="eastAsia" w:ascii="宋体" w:hAnsi="宋体" w:cs="宋体"/>
          <w:b w:val="0"/>
          <w:bCs w:val="0"/>
          <w:color w:val="auto"/>
          <w:sz w:val="24"/>
          <w:szCs w:val="24"/>
          <w:highlight w:val="none"/>
          <w:lang w:val="en-US" w:eastAsia="zh-CN"/>
        </w:rPr>
        <w:t xml:space="preserve">c.投标人取得的进口产品代理证书扫描件加盖公章。</w:t>
      </w:r>
      <w:r/>
    </w:p>
    <w:p>
      <w:pPr>
        <w:pStyle w:val="848"/>
        <w:ind w:firstLine="1060"/>
        <w:spacing w:line="360" w:lineRule="auto"/>
        <w:rPr>
          <w:rFonts w:hint="default" w:ascii="宋体" w:hAnsi="宋体" w:eastAsia="宋体" w:cs="宋体"/>
          <w:b w:val="0"/>
          <w:bCs w:val="0"/>
          <w:color w:val="auto"/>
          <w:sz w:val="24"/>
          <w:szCs w:val="24"/>
          <w:highlight w:val="none"/>
          <w:lang w:val="en-US" w:eastAsia="zh-CN"/>
        </w:rPr>
        <w:outlineLvl w:val="2"/>
      </w:pPr>
      <w:r>
        <w:rPr>
          <w:rFonts w:hint="default" w:ascii="宋体" w:hAnsi="宋体" w:eastAsia="宋体" w:cs="宋体"/>
          <w:b w:val="0"/>
          <w:bCs w:val="0"/>
          <w:color w:val="auto"/>
          <w:sz w:val="24"/>
          <w:szCs w:val="24"/>
          <w:highlight w:val="none"/>
          <w:lang w:val="en-US" w:eastAsia="zh-CN"/>
        </w:rPr>
      </w:r>
      <w:r/>
    </w:p>
    <w:p>
      <w:pPr>
        <w:pStyle w:val="848"/>
        <w:ind w:firstLine="480"/>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三、获取招标文件</w:t>
      </w:r>
      <w:bookmarkEnd w:id="6"/>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1.采购文件获取截止时间：自公告发布之日起5个工作日</w:t>
      </w:r>
      <w:r/>
    </w:p>
    <w:p>
      <w:pPr>
        <w:pStyle w:val="849"/>
        <w:ind w:left="2157" w:hanging="96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2.地点：“苏采云”系统内免费下载（投标人必须在苏采云系统中获取采购文件，方能参与政府采购项目）</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3.方式：本项目采用网上注册登记方式</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4.文件售价：免费。 </w:t>
      </w:r>
      <w:r/>
    </w:p>
    <w:p>
      <w:pPr>
        <w:pStyle w:val="849"/>
        <w:spacing w:line="360" w:lineRule="auto"/>
        <w:rPr>
          <w:rFonts w:hint="eastAsia" w:ascii="宋体" w:hAnsi="宋体" w:cs="宋体"/>
          <w:color w:val="auto"/>
          <w:sz w:val="24"/>
          <w:szCs w:val="24"/>
          <w:highlight w:val="none"/>
        </w:rPr>
        <w:outlineLvl w:val="1"/>
      </w:pPr>
      <w:r>
        <w:rPr>
          <w:rFonts w:hint="eastAsia" w:ascii="宋体" w:hAnsi="宋体" w:cs="宋体"/>
          <w:b/>
          <w:bCs/>
          <w:color w:val="auto"/>
          <w:sz w:val="24"/>
          <w:szCs w:val="24"/>
          <w:highlight w:val="none"/>
        </w:rPr>
        <w:t xml:space="preserve">四、线上提交投标文件截止时间、线上开标时间和线上开标地点</w:t>
      </w:r>
      <w:r>
        <w:rPr>
          <w:rFonts w:hint="eastAsia" w:ascii="宋体" w:hAnsi="宋体" w:cs="宋体"/>
          <w:color w:val="auto"/>
          <w:sz w:val="24"/>
          <w:szCs w:val="24"/>
          <w:highlight w:val="none"/>
        </w:rPr>
        <w:t xml:space="preserve"> </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1.线上提交投标文件截止时间：</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（北京时间）</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2.线上开标时间：</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00</w:t>
      </w:r>
      <w:r>
        <w:rPr>
          <w:rFonts w:hint="eastAsia" w:ascii="宋体" w:hAnsi="宋体" w:cs="宋体"/>
          <w:color w:val="auto"/>
          <w:sz w:val="24"/>
          <w:szCs w:val="24"/>
          <w:highlight w:val="none"/>
        </w:rPr>
        <w:t xml:space="preserve">（北京时间） </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3.线上开标地点：“苏采云”政府采购交易系统网上开标大厅 </w:t>
      </w:r>
      <w:r/>
    </w:p>
    <w:p>
      <w:pPr>
        <w:pStyle w:val="849"/>
        <w:spacing w:line="360" w:lineRule="auto"/>
        <w:tabs>
          <w:tab w:val="left" w:pos="103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五、公告期限 </w:t>
      </w:r>
      <w:r/>
    </w:p>
    <w:p>
      <w:pPr>
        <w:pStyle w:val="849"/>
        <w:ind w:firstLine="1200"/>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自本公告发布之日起 5 个工作日。 </w:t>
      </w:r>
      <w:r/>
    </w:p>
    <w:p>
      <w:pPr>
        <w:pStyle w:val="849"/>
        <w:spacing w:line="360" w:lineRule="auto"/>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pStyle w:val="849"/>
        <w:numPr>
          <w:ilvl w:val="0"/>
          <w:numId w:val="1"/>
        </w:numPr>
        <w:spacing w:line="360" w:lineRule="auto"/>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其他补充事宜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bookmarkStart w:id="7" w:name="_Toc10479"/>
      <w:r>
        <w:rPr>
          <w:rFonts w:hint="eastAsia" w:ascii="宋体" w:hAnsi="宋体" w:cs="宋体"/>
          <w:color w:val="auto"/>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2、潜在供应商访问电子招标响应交易平台的网络地址和方法：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2.2 潜在投标人访问“苏采云”系统方法：江苏省政府采购网首页-“苏采云”链接。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2.3 采购文件（后缀名为“.kedt”）、供应商操作手册及政府采购客户端 工具可通过“苏采云”系统相应链接进行下载。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2.4 采购代理机构将数据电文形式的采购文件加载至“苏采云”系统，供潜在供应商下载或者查阅。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2.5 请潜在投标单位提前安装相应的控件（详见《“苏采云”系统供应商操作手册》）并使用谷歌浏览器登录“苏采云”系统参与不见面开评标。 </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如潜在投标人未按上述要求操作，将自行承担所产生的风险。</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、投标人不得提供虚假材料谋取中标成交的或采取不正当手段诋毁、排挤其他投标人。</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、投标人存在串通投标、以他人名义投标、弄虚作假等违法违规行为，或者无正当理由放弃投标、中标资格，造成项目招标失败的，不得参加该项目重新招标的投标。</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、因投标人的系统环境、操作等原因导致项目参与、开评标过程中出现问题由投标人自行承担负责。</w:t>
      </w:r>
      <w:r/>
    </w:p>
    <w:p>
      <w:pPr>
        <w:pStyle w:val="847"/>
        <w:ind w:left="420" w:firstLine="72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、本次招标不收取投标保证金。</w:t>
      </w:r>
      <w:r/>
    </w:p>
    <w:p>
      <w:pPr>
        <w:pStyle w:val="847"/>
        <w:ind w:left="0" w:firstLine="0"/>
        <w:spacing w:line="360" w:lineRule="auto"/>
        <w:tabs>
          <w:tab w:val="left" w:pos="1276" w:leader="none"/>
        </w:tabs>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r>
      <w:r/>
    </w:p>
    <w:p>
      <w:pPr>
        <w:pStyle w:val="847"/>
        <w:ind w:left="420" w:firstLine="0"/>
        <w:spacing w:line="360" w:lineRule="auto"/>
        <w:tabs>
          <w:tab w:val="left" w:pos="1276" w:leader="none"/>
        </w:tabs>
        <w:rPr>
          <w:rFonts w:hint="eastAsia" w:ascii="宋体" w:hAnsi="宋体" w:cs="宋体"/>
          <w:b/>
          <w:bCs/>
          <w:color w:val="auto"/>
          <w:sz w:val="24"/>
          <w:szCs w:val="24"/>
          <w:highlight w:val="none"/>
        </w:rPr>
        <w:outlineLvl w:val="1"/>
      </w:pPr>
      <w:r>
        <w:rPr>
          <w:rFonts w:hint="eastAsia" w:ascii="宋体" w:hAnsi="宋体" w:cs="宋体"/>
          <w:b/>
          <w:bCs/>
          <w:color w:val="auto"/>
          <w:sz w:val="24"/>
          <w:szCs w:val="24"/>
          <w:highlight w:val="none"/>
        </w:rPr>
        <w:t xml:space="preserve">七、对本次招标提出询问，请按以下方式联系</w:t>
      </w:r>
      <w:bookmarkEnd w:id="7"/>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1.采购人信息</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w:t>
      </w:r>
      <w:r>
        <w:rPr>
          <w:rFonts w:hint="eastAsia" w:hAnsi="宋体" w:cs="宋体"/>
          <w:color w:val="auto"/>
          <w:szCs w:val="24"/>
          <w:highlight w:val="none"/>
          <w:lang w:eastAsia="zh-CN"/>
        </w:rPr>
        <w:t xml:space="preserve">盐城市中医院</w:t>
      </w:r>
      <w:r>
        <w:rPr>
          <w:rFonts w:hint="eastAsia" w:hAnsi="宋体" w:cs="宋体"/>
          <w:color w:val="auto"/>
          <w:szCs w:val="24"/>
          <w:highlight w:val="none"/>
        </w:rPr>
        <w:t xml:space="preserve">        </w:t>
      </w:r>
      <w:r/>
    </w:p>
    <w:p>
      <w:pPr>
        <w:pStyle w:val="850"/>
        <w:ind w:firstLine="1200"/>
        <w:spacing w:before="0" w:beforeAutospacing="0" w:after="0" w:afterAutospacing="0" w:line="360" w:lineRule="auto"/>
        <w:shd w:val="clear" w:color="auto" w:fill="auto"/>
        <w:rPr>
          <w:rFonts w:hint="eastAsia" w:hAnsi="宋体" w:cs="宋体"/>
          <w:color w:val="auto"/>
          <w:szCs w:val="24"/>
          <w:highlight w:val="none"/>
        </w:rPr>
        <w:outlineLvl w:val="1"/>
      </w:pPr>
      <w:r>
        <w:rPr>
          <w:rFonts w:hint="eastAsia" w:hAnsi="宋体" w:cs="宋体"/>
          <w:color w:val="auto"/>
          <w:szCs w:val="24"/>
          <w:highlight w:val="none"/>
        </w:rPr>
        <w:t xml:space="preserve">采购人地址：盐城市人民北路53号 </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w:t>
      </w:r>
      <w:r>
        <w:rPr>
          <w:rFonts w:hint="eastAsia" w:hAnsi="宋体" w:cs="宋体"/>
          <w:color w:val="auto"/>
          <w:szCs w:val="24"/>
          <w:highlight w:val="none"/>
          <w:lang w:val="en-US" w:eastAsia="zh-CN"/>
        </w:rPr>
        <w:t xml:space="preserve">王</w:t>
      </w:r>
      <w:r>
        <w:rPr>
          <w:rFonts w:hint="eastAsia" w:hAnsi="宋体" w:cs="宋体"/>
          <w:color w:val="auto"/>
          <w:szCs w:val="24"/>
          <w:highlight w:val="none"/>
        </w:rPr>
        <w:t xml:space="preserve">老师</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w:t>
      </w:r>
      <w:r>
        <w:rPr>
          <w:rFonts w:hint="eastAsia" w:ascii="宋体" w:hAnsi="宋体" w:eastAsia="宋体" w:cs="宋体"/>
          <w:bCs/>
          <w:color w:val="auto"/>
          <w:sz w:val="24"/>
          <w:szCs w:val="24"/>
          <w:highlight w:val="none"/>
        </w:rPr>
        <w:t xml:space="preserve">0515-88166336</w:t>
      </w:r>
      <w:r>
        <w:rPr>
          <w:rFonts w:hint="eastAsia" w:ascii="宋体" w:hAnsi="宋体" w:eastAsia="宋体"/>
          <w:color w:val="auto"/>
          <w:sz w:val="24"/>
          <w:highlight w:val="none"/>
        </w:rPr>
        <w:t xml:space="preserve"> </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名称：江苏弘业国际技术工程有限公司</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地址：南京市中华路50号弘业大厦10楼1008室</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联系方式：025-52278761</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传  真： 025-52278761</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3.项目联系方式</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项目联系人：徐老师（项目负责人）   刘女士（商务）    </w:t>
      </w:r>
      <w:r/>
    </w:p>
    <w:p>
      <w:pPr>
        <w:pStyle w:val="850"/>
        <w:ind w:firstLine="1200"/>
        <w:spacing w:before="0" w:beforeAutospacing="0" w:after="0" w:afterAutospacing="0" w:line="360" w:lineRule="auto"/>
        <w:rPr>
          <w:rFonts w:hint="eastAsia" w:hAnsi="宋体" w:cs="宋体"/>
          <w:color w:val="auto"/>
          <w:szCs w:val="24"/>
          <w:highlight w:val="none"/>
        </w:rPr>
        <w:outlineLvl w:val="1"/>
      </w:pPr>
      <w:r>
        <w:rPr>
          <w:rFonts w:hint="eastAsia" w:hAnsi="宋体" w:cs="宋体"/>
          <w:color w:val="auto"/>
          <w:szCs w:val="24"/>
          <w:highlight w:val="none"/>
        </w:rPr>
        <w:t xml:space="preserve">电话： 15189217050                        </w:t>
      </w:r>
      <w:bookmarkStart w:id="8" w:name="_Toc25617"/>
      <w:r/>
      <w:bookmarkEnd w:id="8"/>
      <w:r/>
      <w:r/>
    </w:p>
    <w:p>
      <w:pPr>
        <w:jc w:val="center"/>
        <w:spacing w:line="360" w:lineRule="auto"/>
        <w:rPr>
          <w:rFonts w:hint="eastAsia"/>
          <w:b/>
          <w:color w:val="auto"/>
          <w:sz w:val="44"/>
          <w:szCs w:val="44"/>
          <w:highlight w:val="none"/>
        </w:rPr>
        <w:outlineLvl w:val="0"/>
      </w:pPr>
      <w:r/>
      <w:bookmarkStart w:id="9" w:name="_Toc1881"/>
      <w:r>
        <w:rPr>
          <w:rFonts w:hint="eastAsia"/>
          <w:b/>
          <w:color w:val="auto"/>
          <w:sz w:val="44"/>
          <w:szCs w:val="44"/>
          <w:highlight w:val="none"/>
        </w:rPr>
        <w:br w:type="page" w:clear="all"/>
      </w:r>
      <w:r>
        <w:rPr>
          <w:rFonts w:hint="eastAsia"/>
          <w:b/>
          <w:color w:val="auto"/>
          <w:sz w:val="44"/>
          <w:szCs w:val="44"/>
          <w:highlight w:val="none"/>
        </w:rPr>
        <w:t xml:space="preserve">第二部分  投标人须知</w:t>
      </w:r>
      <w:bookmarkEnd w:id="9"/>
      <w:r/>
      <w:r/>
    </w:p>
    <w:p>
      <w:pPr>
        <w:pStyle w:val="851"/>
        <w:jc w:val="center"/>
        <w:keepLines w:val="0"/>
        <w:keepNext w:val="0"/>
        <w:spacing w:before="0" w:after="0" w:line="360" w:lineRule="auto"/>
        <w:rPr>
          <w:rFonts w:hint="eastAsia"/>
          <w:color w:val="auto"/>
          <w:highlight w:val="none"/>
        </w:rPr>
      </w:pPr>
      <w:r/>
      <w:bookmarkStart w:id="10" w:name="_Toc17705"/>
      <w:r/>
      <w:bookmarkStart w:id="11" w:name="_Toc514054471"/>
      <w:r>
        <w:rPr>
          <w:rFonts w:hint="eastAsia"/>
          <w:color w:val="auto"/>
          <w:highlight w:val="none"/>
        </w:rPr>
        <w:t xml:space="preserve">投标人须知前附表</w:t>
      </w:r>
      <w:bookmarkEnd w:id="10"/>
      <w:r/>
      <w:bookmarkEnd w:id="11"/>
      <w:r/>
      <w:r/>
    </w:p>
    <w:tbl>
      <w:tblPr>
        <w:tblStyle w:val="671"/>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jc w:val="center"/>
          <w:trHeight w:val="90"/>
        </w:trPr>
        <w:tc>
          <w:tcPr>
            <w:tcW w:w="1043"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序号</w:t>
            </w:r>
            <w:r/>
          </w:p>
        </w:tc>
        <w:tc>
          <w:tcPr>
            <w:tcW w:w="2519" w:type="dxa"/>
            <w:vAlign w:val="center"/>
            <w:textDirection w:val="lrTb"/>
            <w:noWrap w:val="false"/>
          </w:tcPr>
          <w:p>
            <w:pPr>
              <w:jc w:val="center"/>
              <w:spacing w:line="360" w:lineRule="auto"/>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 xml:space="preserve">内容</w:t>
            </w:r>
            <w:r/>
          </w:p>
        </w:tc>
        <w:tc>
          <w:tcPr>
            <w:tcW w:w="6297" w:type="dxa"/>
            <w:vAlign w:val="center"/>
            <w:textDirection w:val="lrTb"/>
            <w:noWrap w:val="false"/>
          </w:tcPr>
          <w:p>
            <w:pPr>
              <w:jc w:val="center"/>
              <w:spacing w:line="360" w:lineRule="auto"/>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 xml:space="preserve">说明及要求</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bookmarkStart w:id="12" w:name="EBd40b5fb42f2944a3b45e579ce3941f02"/>
            <w:r>
              <w:rPr>
                <w:rFonts w:hint="eastAsia" w:ascii="宋体" w:hAnsi="宋体" w:cs="宋体"/>
                <w:color w:val="auto"/>
                <w:sz w:val="24"/>
                <w:szCs w:val="24"/>
                <w:highlight w:val="none"/>
              </w:rPr>
              <w:t xml:space="preserve">90</w:t>
            </w:r>
            <w:bookmarkEnd w:id="12"/>
            <w:r>
              <w:rPr>
                <w:rFonts w:hint="eastAsia" w:ascii="宋体" w:hAnsi="宋体" w:cs="宋体"/>
                <w:color w:val="auto"/>
                <w:sz w:val="24"/>
                <w:szCs w:val="24"/>
                <w:highlight w:val="none"/>
              </w:rPr>
              <w:t xml:space="preserve">日（从提交投标文件截止之日起算）</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jc w:val="center"/>
          <w:trHeight w:val="90"/>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本项目中标服务费参照《江苏省政府采购协会关于印发&lt;江苏省政府采购代理服务收费指导意见&gt;的通知》(苏政采协[2024]20号)规定收取代理服务费，应在领取成交通知书前缴纳。</w:t>
            </w:r>
            <w:r/>
          </w:p>
          <w:p>
            <w:pP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最低收费金额:5000元</w:t>
            </w:r>
            <w:r/>
          </w:p>
          <w:p>
            <w:pP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50万元以内（含50万）：费率为1.6%</w:t>
            </w:r>
            <w:r/>
          </w:p>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50-400万元(含400万元)：费率为1.5%</w:t>
            </w:r>
            <w:r/>
          </w:p>
          <w:p>
            <w:pPr>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400-1000万元(含1000万元)：费率为1.1%</w:t>
            </w:r>
            <w:r/>
          </w:p>
          <w:p>
            <w:pPr>
              <w:ind w:firstLine="48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账户信息：</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户    名：江苏弘业国际技术工程有限公司</w:t>
            </w:r>
            <w:r/>
          </w:p>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r/>
          </w:p>
          <w:p>
            <w:pPr>
              <w:spacing w:line="360" w:lineRule="auto"/>
              <w:widowControl/>
              <w:rPr>
                <w:rFonts w:hint="eastAsia"/>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账    号：527460884999</w:t>
            </w:r>
            <w:r/>
          </w:p>
        </w:tc>
      </w:tr>
      <w:tr>
        <w:trPr>
          <w:jc w:val="center"/>
          <w:trHeight w:val="405"/>
        </w:trPr>
        <w:tc>
          <w:tcPr>
            <w:tcW w:w="1043"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spacing w:line="360" w:lineRule="auto"/>
              <w:rPr>
                <w:rFonts w:hint="eastAsia"/>
                <w:color w:val="auto"/>
                <w:highlight w:val="none"/>
              </w:rPr>
            </w:pPr>
            <w:r>
              <w:rPr>
                <w:rFonts w:hint="eastAsia" w:ascii="宋体" w:hAnsi="宋体" w:cs="宋体"/>
                <w:color w:val="auto"/>
                <w:sz w:val="24"/>
                <w:szCs w:val="24"/>
                <w:highlight w:val="none"/>
              </w:rPr>
              <w:t xml:space="preserve">本项目</w:t>
            </w:r>
            <w:r>
              <w:rPr>
                <w:rFonts w:hint="eastAsia" w:ascii="宋体" w:hAnsi="宋体" w:eastAsia="宋体" w:cs="宋体"/>
                <w:color w:val="auto"/>
                <w:sz w:val="24"/>
                <w:szCs w:val="24"/>
                <w:highlight w:val="none"/>
              </w:rPr>
              <w:t xml:space="preserve">不收取履约保证金</w:t>
            </w:r>
            <w:r/>
          </w:p>
        </w:tc>
      </w:tr>
      <w:tr>
        <w:trPr>
          <w:jc w:val="center"/>
          <w:trHeight w:val="405"/>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p>
        </w:tc>
        <w:tc>
          <w:tcPr>
            <w:tcW w:w="2519"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b w:val="0"/>
                <w:bCs/>
                <w:color w:val="auto"/>
                <w:sz w:val="24"/>
                <w:highlight w:val="none"/>
              </w:rPr>
              <w:t xml:space="preserve">预付款制度</w:t>
            </w:r>
            <w:r/>
          </w:p>
        </w:tc>
        <w:tc>
          <w:tcPr>
            <w:tcW w:w="6297" w:type="dxa"/>
            <w:vAlign w:val="center"/>
            <w:textDirection w:val="lrTb"/>
            <w:noWrap w:val="false"/>
          </w:tcPr>
          <w:p>
            <w:pP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本项目落实预付款制度，合同签订后，采购人自收到发票后10个工作日内，支付合同金额的30%作为预付款。</w:t>
            </w:r>
            <w:r/>
          </w:p>
        </w:tc>
      </w:tr>
      <w:tr>
        <w:trPr>
          <w:jc w:val="center"/>
          <w:trHeight w:val="518"/>
        </w:trPr>
        <w:tc>
          <w:tcPr>
            <w:tcW w:w="1043"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  工业  </w:t>
            </w:r>
            <w:r>
              <w:rPr>
                <w:rFonts w:hint="eastAsia" w:ascii="宋体" w:hAnsi="宋体" w:cs="宋体"/>
                <w:color w:val="auto"/>
                <w:sz w:val="24"/>
                <w:szCs w:val="24"/>
                <w:highlight w:val="none"/>
              </w:rPr>
              <w:t xml:space="preserve">。</w:t>
            </w:r>
            <w:r/>
          </w:p>
        </w:tc>
      </w:tr>
    </w:tbl>
    <w:p>
      <w:pPr>
        <w:spacing w:line="360" w:lineRule="auto"/>
        <w:rPr>
          <w:rFonts w:hint="eastAsia"/>
          <w:color w:val="auto"/>
          <w:highlight w:val="none"/>
        </w:rPr>
      </w:pPr>
      <w:r>
        <w:rPr>
          <w:rFonts w:hint="eastAsia"/>
          <w:color w:val="auto"/>
          <w:highlight w:val="none"/>
        </w:rPr>
      </w:r>
      <w:r/>
    </w:p>
    <w:p>
      <w:pPr>
        <w:pStyle w:val="852"/>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85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852"/>
        <w:spacing w:line="360" w:lineRule="auto"/>
        <w:rPr>
          <w:rFonts w:hint="eastAsia" w:ascii="宋体" w:hAnsi="宋体" w:eastAsia="宋体" w:cs="宋体"/>
          <w:color w:val="auto"/>
          <w:highlight w:val="none"/>
        </w:rPr>
        <w:outlineLvl w:val="1"/>
      </w:pPr>
      <w:r/>
      <w:bookmarkStart w:id="13" w:name="_Toc514054473"/>
      <w:r/>
      <w:bookmarkStart w:id="14" w:name="_Toc21335"/>
      <w:r>
        <w:rPr>
          <w:rFonts w:hint="eastAsia" w:ascii="宋体" w:hAnsi="宋体" w:eastAsia="宋体" w:cs="宋体"/>
          <w:color w:val="auto"/>
          <w:highlight w:val="none"/>
        </w:rPr>
        <w:t xml:space="preserve">二、招标文件</w:t>
      </w:r>
      <w:bookmarkEnd w:id="13"/>
      <w:r/>
      <w:bookmarkEnd w:id="1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w:t>
      </w:r>
      <w:r>
        <w:rPr>
          <w:rFonts w:hint="eastAsia" w:ascii="宋体" w:hAnsi="宋体"/>
          <w:color w:val="auto"/>
          <w:sz w:val="24"/>
          <w:highlight w:val="none"/>
        </w:rPr>
        <w:t xml:space="preserve">招标文件的修改将在“中国政府采购网”、“江苏政府采购网”、“盐城市政府采购网”公布，补充文件将作为招标文件的组成部分，并对投标人具有约束力。修改内容可能影响投标文件编制的，采购人或者采购代理机构将顺延提交投标文件的截止时间，并将在“中国政府采购网”、“江苏政府采购网”、“盐城市政府采购网”公布。</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15" w:name="EB453bde7f4ddc418fae2aad9fbcd82554"/>
      <w:r>
        <w:rPr>
          <w:rFonts w:hint="eastAsia" w:ascii="宋体" w:hAnsi="宋体" w:cs="宋体"/>
          <w:color w:val="auto"/>
          <w:sz w:val="20"/>
          <w:highlight w:val="none"/>
        </w:rPr>
        <w:t xml:space="preserve"> </w:t>
      </w:r>
      <w:bookmarkEnd w:id="15"/>
      <w:r/>
      <w:bookmarkStart w:id="16" w:name="EBec71fc1696a240c4b620fe1e00b2ce58"/>
      <w:r>
        <w:rPr>
          <w:rFonts w:hint="eastAsia" w:ascii="宋体" w:hAnsi="宋体" w:cs="宋体"/>
          <w:color w:val="auto"/>
          <w:sz w:val="20"/>
          <w:highlight w:val="none"/>
        </w:rPr>
        <w:t xml:space="preserve"> </w:t>
      </w:r>
      <w:bookmarkEnd w:id="16"/>
      <w:r/>
      <w:r/>
    </w:p>
    <w:p>
      <w:pPr>
        <w:pStyle w:val="852"/>
        <w:spacing w:line="360" w:lineRule="auto"/>
        <w:rPr>
          <w:rFonts w:hint="eastAsia" w:ascii="宋体" w:hAnsi="宋体" w:eastAsia="宋体" w:cs="宋体"/>
          <w:color w:val="auto"/>
          <w:highlight w:val="none"/>
        </w:rPr>
        <w:outlineLvl w:val="1"/>
      </w:pPr>
      <w:r/>
      <w:bookmarkStart w:id="17" w:name="_Toc514054474"/>
      <w:r/>
      <w:bookmarkStart w:id="18" w:name="_Toc26908"/>
      <w:r>
        <w:rPr>
          <w:rFonts w:hint="eastAsia" w:ascii="宋体" w:hAnsi="宋体" w:eastAsia="宋体" w:cs="宋体"/>
          <w:color w:val="auto"/>
          <w:highlight w:val="none"/>
        </w:rPr>
        <w:t xml:space="preserve">三、投标文件的编制</w:t>
      </w:r>
      <w:bookmarkEnd w:id="17"/>
      <w:r/>
      <w:bookmarkEnd w:id="1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11.1资格证明文件；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11.1.1具有独立承担民事责任的能力（</w:t>
      </w:r>
      <w:r>
        <w:rPr>
          <w:rFonts w:hint="eastAsia" w:ascii="宋体" w:hAnsi="宋体" w:cs="宋体"/>
          <w:color w:val="auto"/>
          <w:sz w:val="24"/>
          <w:szCs w:val="24"/>
          <w:highlight w:val="none"/>
        </w:rPr>
        <w:t xml:space="preserve">提供法人或者其他组织的营业执照等证明文件；供应商为自然人的，提供其身份证</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11.1.2具有良好的商业信誉和健全的财务会计制度（提供</w:t>
      </w:r>
      <w:r>
        <w:rPr>
          <w:rFonts w:hint="eastAsia" w:ascii="宋体" w:hAnsi="宋体" w:cs="宋体"/>
          <w:color w:val="auto"/>
          <w:sz w:val="24"/>
          <w:szCs w:val="22"/>
          <w:highlight w:val="none"/>
        </w:rPr>
        <w:t xml:space="preserve">2023年度</w:t>
      </w:r>
      <w:r>
        <w:rPr>
          <w:rFonts w:hint="eastAsia" w:ascii="宋体" w:hAnsi="宋体" w:cs="宋体"/>
          <w:color w:val="auto"/>
          <w:sz w:val="24"/>
          <w:szCs w:val="22"/>
          <w:highlight w:val="none"/>
          <w:lang w:val="en-US" w:eastAsia="zh-CN"/>
        </w:rPr>
        <w:t xml:space="preserve">或2024年度</w:t>
      </w:r>
      <w:r>
        <w:rPr>
          <w:rFonts w:hint="eastAsia" w:ascii="宋体" w:hAnsi="宋体" w:cs="宋体"/>
          <w:color w:val="auto"/>
          <w:sz w:val="24"/>
          <w:highlight w:val="none"/>
        </w:rPr>
        <w:t xml:space="preserve">财务报告，至少包含资产负债表、利润表，或投标截止时间前六个月内银行出具的资信证明，成立不满一年的无须提供）；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11.1.3具有履行合同所必需的设备和专业技术能力（供应商根据履行采购项目合同需要，提供履行合同所必需的设备和专业技术能力的声明函或证明材料）；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11.1.4有依法缴纳税收和社会保障资金的良好记录</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eastAsia="zh-CN"/>
        </w:rPr>
        <w:t xml:space="preserve">提供2024年8月至今</w:t>
      </w:r>
      <w:r>
        <w:rPr>
          <w:rFonts w:hint="eastAsia" w:ascii="宋体" w:hAnsi="宋体" w:cs="宋体"/>
          <w:color w:val="auto"/>
          <w:sz w:val="24"/>
          <w:szCs w:val="22"/>
          <w:highlight w:val="none"/>
        </w:rPr>
        <w:t xml:space="preserve">）</w:t>
      </w:r>
      <w:r>
        <w:rPr>
          <w:rFonts w:hint="eastAsia" w:ascii="宋体" w:hAnsi="宋体" w:cs="宋体"/>
          <w:color w:val="auto"/>
          <w:sz w:val="24"/>
          <w:highlight w:val="none"/>
        </w:rPr>
        <w:t xml:space="preserve">中任一月份的依法缴纳税收和社会保险费的相关材料（提供相关主管部门证明或银行代扣证明的复印件，根据国家相关政策免缴或迟缴的需提供相关证明材料）；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11.1.5参加政府采购活动前三年内，在经营活动中没有重大违法记录（提供承诺书）；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11.1.6法律、行政法规规定的其他条件。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11.1.7</w:t>
      </w:r>
      <w:bookmarkStart w:id="19" w:name="OLE_LINK73"/>
      <w:r>
        <w:rPr>
          <w:rFonts w:hint="eastAsia" w:ascii="宋体" w:hAnsi="宋体" w:cs="宋体"/>
          <w:color w:val="auto"/>
          <w:sz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19"/>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szCs w:val="24"/>
          <w:highlight w:val="none"/>
        </w:rPr>
        <w:t xml:space="preserve">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11.1.9投标人具有所投产品医疗器械生产许可（或备案）证或经营许可（或备案）证。</w:t>
      </w:r>
      <w:r/>
    </w:p>
    <w:p>
      <w:pPr>
        <w:ind w:firstLine="480"/>
        <w:spacing w:line="360" w:lineRule="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提供所投产品有效的医疗器械注册证</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11.1.11投标货物如为进口产品，投标人须提供下列授权文件之一</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a.供应商须提供进口产品制造商出具的授权函加盖公章；</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b.进口产品制造商对授权的区域代理商出具的授权函扫描件及该区域代理商对投标人出具的授权函扫描件加盖公章；</w:t>
      </w:r>
      <w:r/>
    </w:p>
    <w:p>
      <w:pPr>
        <w:ind w:firstLine="48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c.投标人取得的进口产品代理证书扫描件加盖公章。</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11.3法定代表人身份证明或法定代表人授权委托</w:t>
      </w:r>
      <w:bookmarkStart w:id="20" w:name="EB1a77376dbd044d229c365f6951816069"/>
      <w:r>
        <w:rPr>
          <w:rFonts w:hint="eastAsia" w:ascii="宋体" w:hAnsi="宋体" w:cs="宋体"/>
          <w:bCs/>
          <w:color w:val="auto"/>
          <w:sz w:val="24"/>
          <w:szCs w:val="24"/>
          <w:highlight w:val="none"/>
        </w:rPr>
        <w:t xml:space="preserve">书（并按要求提供法定代表人或授权委托人居民身份证复印件加盖公章；如为授权委托人参加投标的，须提供开标前6个月内任意一个月投标人单位为授权委托人缴纳的社保证明材料）；</w:t>
      </w:r>
      <w:bookmarkEnd w:id="20"/>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11.4报价文件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11.4.1开标一览表；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11.4.2明细报价表。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11.5技术文件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11.6商务文件</w:t>
      </w:r>
      <w:r/>
    </w:p>
    <w:p>
      <w:pPr>
        <w:ind w:firstLine="480"/>
        <w:spacing w:line="360" w:lineRule="auto"/>
        <w:rPr>
          <w:rFonts w:hint="eastAsia" w:ascii="宋体" w:hAnsi="宋体" w:cs="宋体"/>
          <w:color w:val="auto"/>
          <w:sz w:val="24"/>
          <w:highlight w:val="none"/>
        </w:rPr>
      </w:pPr>
      <w:r/>
      <w:bookmarkStart w:id="21" w:name="EBdc2c24f6358343e896cd43bd6621a619"/>
      <w:r>
        <w:rPr>
          <w:rFonts w:hint="eastAsia" w:ascii="宋体" w:hAnsi="宋体" w:cs="宋体"/>
          <w:color w:val="auto"/>
          <w:sz w:val="24"/>
          <w:highlight w:val="none"/>
        </w:rPr>
        <w:t xml:space="preserve">11.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.其他证明文件</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w:t>
      </w:r>
      <w:bookmarkEnd w:id="21"/>
      <w:r/>
      <w:r/>
    </w:p>
    <w:p>
      <w:pPr>
        <w:numPr>
          <w:ilvl w:val="0"/>
          <w:numId w:val="2"/>
        </w:num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360" w:lineRule="auto"/>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22" w:name="EB54dd097a55df4796bd5f9b6bdf2ddc40"/>
      <w:r>
        <w:rPr>
          <w:rFonts w:hint="eastAsia" w:ascii="宋体" w:hAnsi="宋体" w:cs="宋体"/>
          <w:color w:val="auto"/>
          <w:sz w:val="24"/>
          <w:highlight w:val="none"/>
        </w:rPr>
        <w:t xml:space="preserve">设备本身、安装调试费、人工费、服务费、税金以及交付使用过程中涉及到的其他一切费用。</w:t>
      </w:r>
      <w:bookmarkEnd w:id="2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15.招标代理服务费</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15.1</w:t>
      </w:r>
      <w:r>
        <w:rPr>
          <w:rFonts w:hint="eastAsia" w:ascii="宋体" w:hAnsi="宋体" w:cs="宋体"/>
          <w:color w:val="auto"/>
          <w:sz w:val="24"/>
          <w:highlight w:val="none"/>
          <w:lang w:val="en-US" w:eastAsia="zh-CN"/>
        </w:rPr>
        <w:t xml:space="preserve">本项目中标服务费参照《江苏省政府采购协会关于印发&lt;江苏省政府采购代理服务收费指导意见&gt;的通知》(苏政采协[2024]20号)规定收取代理服务费，应在领取成交通知书前缴纳。</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最低收费金额:5000元</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50万元以内（含50万）：费率为1.6%</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50-400万元(含400万元)：费率为1.5%</w:t>
      </w:r>
      <w:r/>
    </w:p>
    <w:p>
      <w:pPr>
        <w:ind w:firstLine="482"/>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400-1000万元(含1000万元)：费率为1.1%</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23" w:name="EB12ed6b870f334fa092f7ed1f9a9dbab8"/>
      <w:r>
        <w:rPr>
          <w:rFonts w:hint="eastAsia" w:ascii="宋体" w:hAnsi="宋体" w:cs="宋体"/>
          <w:color w:val="auto"/>
          <w:sz w:val="20"/>
          <w:highlight w:val="none"/>
        </w:rPr>
        <w:t xml:space="preserve"> </w:t>
      </w:r>
      <w:bookmarkEnd w:id="23"/>
      <w:r/>
      <w:bookmarkStart w:id="24" w:name="EB5d36e8077cc64e309c0c0f0cd8a6f496"/>
      <w:r>
        <w:rPr>
          <w:rFonts w:hint="eastAsia" w:ascii="宋体" w:hAnsi="宋体" w:cs="宋体"/>
          <w:color w:val="auto"/>
          <w:sz w:val="20"/>
          <w:highlight w:val="none"/>
        </w:rPr>
        <w:t xml:space="preserve"> </w:t>
      </w:r>
      <w:bookmarkEnd w:id="24"/>
      <w:r/>
      <w:r/>
    </w:p>
    <w:p>
      <w:pPr>
        <w:pStyle w:val="852"/>
        <w:spacing w:line="360" w:lineRule="auto"/>
        <w:rPr>
          <w:rFonts w:hint="eastAsia" w:ascii="宋体" w:hAnsi="宋体" w:eastAsia="宋体" w:cs="宋体"/>
          <w:color w:val="auto"/>
          <w:highlight w:val="none"/>
        </w:rPr>
        <w:outlineLvl w:val="1"/>
      </w:pPr>
      <w:r/>
      <w:bookmarkStart w:id="25" w:name="_Toc514054475"/>
      <w:r/>
      <w:bookmarkStart w:id="26" w:name="_Toc26211"/>
      <w:r>
        <w:rPr>
          <w:rFonts w:hint="eastAsia" w:ascii="宋体" w:hAnsi="宋体" w:eastAsia="宋体" w:cs="宋体"/>
          <w:color w:val="auto"/>
          <w:highlight w:val="none"/>
        </w:rPr>
        <w:t xml:space="preserve">四、投标文件的提交</w:t>
      </w:r>
      <w:bookmarkEnd w:id="25"/>
      <w:r/>
      <w:bookmarkEnd w:id="26"/>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17.1、投标文件的提交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17.1.1 电子投标文件的递交</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投标人应当按照《操作手册》规定，在投标截止时间前制作并上传电子投标文件。</w:t>
      </w:r>
      <w:bookmarkStart w:id="27" w:name="_Toc20823298"/>
      <w:r/>
      <w:bookmarkEnd w:id="27"/>
      <w:r/>
      <w:bookmarkStart w:id="28" w:name="_Toc16938542"/>
      <w:r/>
      <w:bookmarkEnd w:id="28"/>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17.2.1投标人上传电子投标文件的时间不得迟于招标公告中规定的投标截止时间。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360" w:lineRule="auto"/>
        <w:rPr>
          <w:rFonts w:hint="eastAsia"/>
          <w:color w:val="auto"/>
          <w:highlight w:val="none"/>
        </w:rPr>
      </w:pPr>
      <w:r>
        <w:rPr>
          <w:rFonts w:hint="eastAsia" w:ascii="宋体" w:hAnsi="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360" w:lineRule="auto"/>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29" w:name="EB200c38d7a1c345f29b604b38d510a951"/>
      <w:r>
        <w:rPr>
          <w:rFonts w:hint="eastAsia" w:ascii="宋体" w:hAnsi="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29"/>
      <w:r/>
      <w:r/>
    </w:p>
    <w:p>
      <w:pPr>
        <w:ind w:firstLine="480"/>
        <w:spacing w:line="360" w:lineRule="auto"/>
        <w:rPr>
          <w:rFonts w:hint="eastAsia" w:ascii="宋体" w:hAnsi="宋体"/>
          <w:b/>
          <w:bCs/>
          <w:color w:val="auto"/>
          <w:sz w:val="24"/>
          <w:highlight w:val="none"/>
        </w:rPr>
        <w:outlineLvl w:val="2"/>
      </w:pPr>
      <w:r/>
      <w:bookmarkStart w:id="30" w:name="_Toc16938544"/>
      <w:r/>
      <w:bookmarkStart w:id="31" w:name="_Toc513029228"/>
      <w:r/>
      <w:bookmarkStart w:id="32" w:name="_Toc20823300"/>
      <w:r>
        <w:rPr>
          <w:rFonts w:hint="eastAsia" w:ascii="宋体" w:hAnsi="宋体"/>
          <w:b/>
          <w:bCs/>
          <w:color w:val="auto"/>
          <w:sz w:val="24"/>
          <w:highlight w:val="none"/>
        </w:rPr>
        <w:t xml:space="preserve">17.4、投标文件的撤回和修改</w:t>
      </w:r>
      <w:bookmarkEnd w:id="30"/>
      <w:r/>
      <w:bookmarkEnd w:id="31"/>
      <w:r/>
      <w:bookmarkEnd w:id="3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17.4.1.1电子投标文件的撤回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17.4.1.2投标人撤回电子投标文件，则认为其不再参与本项目投标活动。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 投标文件的修改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17.4.2.1投标人可在投标截止时间前，对其电子投标文件进行修改，具体操作方法见《操作手册》。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17.4.2.2在投标截止时间之后，投标人不得对其电子投标文件作任何修改。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17.4.3在投标截止时间至招标文件中规定的投标有效期满之间的这段时间内，投标人不得撤回其投标。</w:t>
      </w:r>
      <w:r/>
    </w:p>
    <w:p>
      <w:pPr>
        <w:pStyle w:val="852"/>
        <w:spacing w:line="360" w:lineRule="auto"/>
        <w:rPr>
          <w:rFonts w:hint="eastAsia" w:ascii="宋体" w:hAnsi="宋体" w:eastAsia="宋体" w:cs="宋体"/>
          <w:color w:val="auto"/>
          <w:highlight w:val="none"/>
        </w:rPr>
        <w:outlineLvl w:val="1"/>
      </w:pPr>
      <w:r/>
      <w:bookmarkStart w:id="33" w:name="_Toc11452"/>
      <w:r/>
      <w:bookmarkStart w:id="34" w:name="_Toc514054476"/>
      <w:r>
        <w:rPr>
          <w:rFonts w:hint="eastAsia" w:ascii="宋体" w:hAnsi="宋体" w:eastAsia="宋体" w:cs="宋体"/>
          <w:color w:val="auto"/>
          <w:highlight w:val="none"/>
        </w:rPr>
        <w:t xml:space="preserve">五、无效标、</w:t>
      </w:r>
      <w:r>
        <w:rPr>
          <w:rFonts w:hint="eastAsia" w:ascii="宋体" w:hAnsi="宋体" w:eastAsia="宋体" w:cs="宋体"/>
          <w:color w:val="auto"/>
          <w:highlight w:val="none"/>
          <w:lang w:eastAsia="zh-CN"/>
        </w:rPr>
        <w:t xml:space="preserve">投标被拒绝</w:t>
      </w:r>
      <w:r>
        <w:rPr>
          <w:rFonts w:hint="eastAsia" w:ascii="宋体" w:hAnsi="宋体" w:eastAsia="宋体" w:cs="宋体"/>
          <w:color w:val="auto"/>
          <w:highlight w:val="none"/>
        </w:rPr>
        <w:t xml:space="preserve">、串通投标认定条款</w:t>
      </w:r>
      <w:bookmarkEnd w:id="33"/>
      <w:r/>
      <w:bookmarkEnd w:id="3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35" w:name="EB94942e5430df4fb8a077f3cf7667f212"/>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18.1.1投标人在苏采云系统规定的时间内未成功解密电子投标文件的。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18.1.2投标人未按照招标文件要求上传电子投标文件的。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18.1.3同一投标人提交两个（含两个）以上不同的投标报价的。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18.1.4投标人不具备招标文件中规定资格要求的。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18.1.5投标人的报价超过了采购预算或最高限价的。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18.1.6未通过符合性审查的。</w:t>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rPr>
        <w:t xml:space="preserve">18.1.7不符合招标文件中规定的实质性要求和条件的</w:t>
      </w:r>
      <w:r>
        <w:rPr>
          <w:rFonts w:hint="eastAsia" w:ascii="宋体" w:hAnsi="宋体"/>
          <w:b/>
          <w:bCs/>
          <w:i/>
          <w:iCs/>
          <w:color w:val="auto"/>
          <w:sz w:val="24"/>
          <w:highlight w:val="none"/>
          <w:u w:val="single"/>
        </w:rPr>
        <w:t xml:space="preserve">（本招标文件中斜体且有下划线部分为实质性要求和条件）</w:t>
      </w:r>
      <w:r>
        <w:rPr>
          <w:rFonts w:hint="eastAsia" w:ascii="宋体" w:hAnsi="宋体"/>
          <w:b/>
          <w:bCs/>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18.1.9投标文件含有采购人不能接受的附加条件的。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18.1.11</w:t>
      </w:r>
      <w:r>
        <w:rPr>
          <w:rFonts w:ascii="宋体" w:hAnsi="宋体"/>
          <w:color w:val="auto"/>
          <w:sz w:val="24"/>
          <w:highlight w:val="none"/>
        </w:rPr>
        <w:t xml:space="preserve">本项目采购产品</w:t>
      </w:r>
      <w:r>
        <w:rPr>
          <w:rFonts w:hint="eastAsia" w:ascii="宋体" w:hAnsi="宋体"/>
          <w:color w:val="auto"/>
          <w:sz w:val="24"/>
          <w:highlight w:val="none"/>
        </w:rPr>
        <w:t xml:space="preserve">如</w:t>
      </w:r>
      <w:r>
        <w:rPr>
          <w:rFonts w:ascii="宋体" w:hAnsi="宋体"/>
          <w:color w:val="auto"/>
          <w:sz w:val="24"/>
          <w:highlight w:val="none"/>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olor w:val="auto"/>
          <w:sz w:val="24"/>
          <w:highlight w:val="none"/>
          <w:lang w:eastAsia="zh-CN"/>
        </w:rPr>
        <w:t xml:space="preserve">，节能产品、环境标志产品品目清单以递交响应文件截止时已正式公布的最近一期信息为准</w:t>
      </w:r>
      <w:r>
        <w:rPr>
          <w:rFonts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18.1.12投标文件未按照招标文件要求加盖公章的。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18.1.13</w:t>
      </w:r>
      <w:r>
        <w:rPr>
          <w:rFonts w:hint="eastAsia" w:ascii="宋体" w:hAnsi="宋体" w:cs="宋体"/>
          <w:color w:val="auto"/>
          <w:sz w:val="24"/>
          <w:highlight w:val="none"/>
        </w:rPr>
        <w:t xml:space="preserve">投标文件含有采购人不能接受的附加条件的；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18.1.14</w:t>
      </w:r>
      <w:r>
        <w:rPr>
          <w:rFonts w:hint="eastAsia" w:ascii="宋体" w:hAnsi="宋体" w:cs="宋体"/>
          <w:color w:val="auto"/>
          <w:sz w:val="24"/>
          <w:highlight w:val="none"/>
        </w:rPr>
        <w:t xml:space="preserve">投标人有本招标文件规定的恶意串通投标情形的；</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18.1.15</w:t>
      </w:r>
      <w:r>
        <w:rPr>
          <w:rFonts w:hint="eastAsia" w:ascii="宋体" w:hAnsi="宋体" w:cs="宋体"/>
          <w:color w:val="auto"/>
          <w:sz w:val="24"/>
          <w:highlight w:val="none"/>
        </w:rPr>
        <w:t xml:space="preserve">其它评标委员会认为有必要取消的投标；</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18.1.16其他法律、法规及本招标文件规定的属无效投标的情形。</w:t>
      </w:r>
      <w:bookmarkEnd w:id="35"/>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19.4评标委员会认定招标文件存在歧义、重大缺陷导致评审工作无法进行。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19.5因苏采云系统故障原因造成开标不成功的。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19.6投标截止时间结束后参加投标的供应商不足三家的处理：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852"/>
        <w:spacing w:line="360" w:lineRule="auto"/>
        <w:rPr>
          <w:rFonts w:hint="eastAsia" w:ascii="宋体" w:hAnsi="宋体" w:eastAsia="宋体" w:cs="宋体"/>
          <w:color w:val="auto"/>
          <w:highlight w:val="none"/>
        </w:rPr>
        <w:outlineLvl w:val="1"/>
      </w:pPr>
      <w:r/>
      <w:bookmarkStart w:id="36" w:name="_Toc514054477"/>
      <w:r/>
      <w:bookmarkStart w:id="37" w:name="_Toc29013"/>
      <w:r>
        <w:rPr>
          <w:rFonts w:hint="eastAsia" w:ascii="宋体" w:hAnsi="宋体" w:eastAsia="宋体" w:cs="宋体"/>
          <w:color w:val="auto"/>
          <w:highlight w:val="none"/>
        </w:rPr>
        <w:t xml:space="preserve">六、开标、资格审查、评标程序</w:t>
      </w:r>
      <w:bookmarkEnd w:id="36"/>
      <w:r/>
      <w:bookmarkEnd w:id="37"/>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23.2开标仪式由采购代理机构组织。苏采云系统将自动对项目进行开标，并宣布各投标人名称和投标价格。</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23.3投标人在开标过程中涉及到的投标文件解密、开标结果确认等工作，应按照《操作手册》规定执行。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360" w:lineRule="auto"/>
        <w:rPr>
          <w:rFonts w:hint="eastAsia" w:ascii="宋体" w:hAnsi="宋体" w:cs="宋体"/>
          <w:color w:val="auto"/>
          <w:sz w:val="24"/>
          <w:highlight w:val="none"/>
        </w:rPr>
      </w:pPr>
      <w:r/>
      <w:bookmarkStart w:id="38"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38"/>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27.2在评标过程中，投标人不得以任何行为影响评标过程，否则其投标文件将被作为无效投标文件。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27.3采购代理机构和评标委员会不向未中标的投标人解释未中标原因，也不公布评标过程中的相关细节。</w:t>
      </w:r>
      <w:r/>
    </w:p>
    <w:p>
      <w:pPr>
        <w:ind w:firstLine="480"/>
        <w:spacing w:line="360" w:lineRule="auto"/>
        <w:rPr>
          <w:rFonts w:hint="eastAsia"/>
          <w:color w:val="auto"/>
          <w:highlight w:val="none"/>
        </w:rPr>
      </w:pPr>
      <w:r>
        <w:rPr>
          <w:rFonts w:hint="eastAsia" w:ascii="宋体" w:hAnsi="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39"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39"/>
      <w:r>
        <w:rPr>
          <w:rFonts w:hint="eastAsia" w:ascii="宋体" w:hAnsi="宋体" w:cs="宋体"/>
          <w:color w:val="auto"/>
          <w:sz w:val="24"/>
          <w:highlight w:val="none"/>
        </w:rPr>
        <w:t xml:space="preserve">重大偏离的认定须经评标委员会三分之二以上同意。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公章。澄清、说明和补正的内容作为投标文件的补充部分，具体操作方式见《操作手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40" w:name="EB66024636071342209da8bda483232040"/>
      <w:r>
        <w:rPr>
          <w:rFonts w:hint="eastAsia" w:ascii="宋体" w:hAnsi="宋体" w:cs="宋体"/>
          <w:color w:val="auto"/>
          <w:sz w:val="24"/>
          <w:highlight w:val="none"/>
        </w:rPr>
        <w:t xml:space="preserve"> </w:t>
      </w:r>
      <w:bookmarkEnd w:id="40"/>
      <w:r/>
      <w:r/>
    </w:p>
    <w:p>
      <w:pPr>
        <w:numPr>
          <w:ilvl w:val="0"/>
          <w:numId w:val="3"/>
        </w:numPr>
        <w:ind w:firstLine="482"/>
        <w:spacing w:line="360" w:lineRule="auto"/>
        <w:rPr>
          <w:rFonts w:hint="eastAsia" w:ascii="宋体" w:hAnsi="宋体" w:cs="宋体"/>
          <w:b/>
          <w:bCs/>
          <w:color w:val="auto"/>
          <w:sz w:val="24"/>
          <w:highlight w:val="none"/>
        </w:rPr>
      </w:pPr>
      <w:r/>
      <w:bookmarkStart w:id="41" w:name="EBf6bd108017b14bde8ec3ea4804c87c27"/>
      <w:r>
        <w:rPr>
          <w:rFonts w:hint="eastAsia" w:ascii="宋体" w:hAnsi="宋体" w:cs="宋体"/>
          <w:b/>
          <w:bCs/>
          <w:color w:val="auto"/>
          <w:sz w:val="24"/>
          <w:highlight w:val="none"/>
        </w:rPr>
        <w:t xml:space="preserve">政府采购政策功能落实</w:t>
      </w:r>
      <w:r/>
    </w:p>
    <w:p>
      <w:pPr>
        <w:ind w:firstLine="480"/>
        <w:spacing w:line="360" w:lineRule="auto"/>
        <w:widowControl/>
        <w:rPr>
          <w:rFonts w:hint="eastAsia" w:ascii="宋体" w:hAnsi="宋体" w:eastAsia="宋体" w:cs="宋体"/>
          <w:color w:val="auto"/>
          <w:sz w:val="24"/>
          <w:szCs w:val="20"/>
          <w:highlight w:val="none"/>
        </w:rPr>
      </w:pPr>
      <w:r/>
      <w:bookmarkStart w:id="42" w:name="EBd9bc59d5f2ed4fb8a64ee2e373d8cc72"/>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.1政府采购线上合同信用融资政策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.2进口产品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.3中小企业、监狱企业及残疾人福利性单位</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.3.1中小企业定义：</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中小企业是</w:t>
      </w:r>
      <w:r>
        <w:rPr>
          <w:rFonts w:hint="eastAsia" w:ascii="宋体" w:hAnsi="宋体" w:eastAsia="宋体" w:cs="宋体"/>
          <w:color w:val="auto"/>
          <w:sz w:val="24"/>
          <w:szCs w:val="20"/>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.3.2供应商提供的货物、工程或者服务符合下列情形的，享受中小企业扶持政策：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.3.2.1在货物采购项目中，货物由中小企业制造，即货物由中小企业生产且使用该中小企业商号或者注册商标；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.3.2.2在工程采购项目中，工程由中小企业承建，即工程施工单位为中小企业；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.3.2.3在服务采购项目中，服务由中小企业承接，即提供服务的人员为中小企业依照《中华人民共和国劳动合同法》订立劳动合同的从业人员。</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.3.3在货物采购项目中，供应商提供的货物既有中小企业制造货物，也有大型企业制造货物的，不享受中小企业扶持政策。</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.3.4以联合体形式参加政府采购活动，联合体各方均为中小企业的，联合体视同中小企业。其中，联合体各方均为小微企业的，联合体视同小微企业。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.3.6残疾人福利单位定义：享受政府采购支持政策的残疾人福利性单位应当同时满足以下条件：</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.3.6.1安置的残疾人占本单位在职职工人数的比例不低于25%（含25%），并且安置的残疾人人数不少于10 人（含10 人）；</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.3.6.2依法与安置的每位残疾人签订了一年以上（含一年）的劳动合同或服务协议；</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.3.6.3为安置的每位残疾人按月足额缴纳了基本养老保险、基本医疗保险、失业保险、工伤保险和生育保险等社会保险费；</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.3.6.4通过银行等金融机构向安置的每位残疾人，按月支付了不低于单位所在区县适用的经省级人民政府批准的月最低工资标准的工资；</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.3.6.5提供本单位制造的货物、承担的工程或者服务（以下简称产品），或者提供其他残疾人福利性单位制造的货物（不包括使用非残疾人福利性单位注册商标的货物）；</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.3.7本项目是否专门面向中小企业预留采购份额见第一章《招标公告》。</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.3.8采购标的对应的中小企业划分标准所属行业见第四章《采购需求》。</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.3.9小微企业价格评审优惠的政策：见第</w:t>
      </w:r>
      <w:r>
        <w:rPr>
          <w:rFonts w:hint="eastAsia" w:ascii="宋体" w:hAnsi="宋体" w:eastAsia="宋体" w:cs="宋体"/>
          <w:color w:val="auto"/>
          <w:sz w:val="24"/>
          <w:szCs w:val="20"/>
          <w:highlight w:val="none"/>
          <w:lang w:val="en-US" w:eastAsia="zh-CN"/>
        </w:rPr>
        <w:t xml:space="preserve">三</w:t>
      </w:r>
      <w:r>
        <w:rPr>
          <w:rFonts w:hint="eastAsia" w:ascii="宋体" w:hAnsi="宋体" w:eastAsia="宋体" w:cs="宋体"/>
          <w:color w:val="auto"/>
          <w:sz w:val="24"/>
          <w:szCs w:val="20"/>
          <w:highlight w:val="none"/>
        </w:rPr>
        <w:t xml:space="preserve">章《评标方法和标准》。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.4政府采购节能产品、环境标志产品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rPr>
        <w:t xml:space="preserve">。其他条件相同情况下，应当优先采购节能产品、环境标志产品。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w:t>
      </w:r>
      <w:r>
        <w:rPr>
          <w:rFonts w:hint="eastAsia" w:ascii="宋体" w:hAnsi="宋体" w:eastAsia="宋体" w:cs="宋体"/>
          <w:color w:val="auto"/>
          <w:sz w:val="24"/>
          <w:szCs w:val="20"/>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29.5绿色包装</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29.6政府采购创新产品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采购人优先采购各级政府部门公开发布的有效期内的创新产品、创新服务、首台套、首购首用等《目录》的创新产品。</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29.7绿色数据中心政策 </w:t>
      </w:r>
      <w:r/>
    </w:p>
    <w:p>
      <w:pPr>
        <w:ind w:firstLine="480"/>
        <w:spacing w:line="360" w:lineRule="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42"/>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 绿色低碳管理目标和服务要求：在物业、合同能源管理等服务类采购项目需求中，要强化绿色低碳管理目标和服务要求，促进绿色产品和服务推广应用。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低挥发性有机化合物产品：</w:t>
      </w:r>
      <w:r>
        <w:rPr>
          <w:rFonts w:hint="eastAsia" w:ascii="宋体" w:hAnsi="宋体" w:cs="宋体"/>
          <w:color w:val="auto"/>
          <w:sz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highlight w:val="none"/>
        </w:rPr>
        <w:t xml:space="preserve">予以评审优惠。</w:t>
      </w:r>
      <w:r>
        <w:rPr>
          <w:rFonts w:hint="eastAsia" w:ascii="宋体" w:hAnsi="宋体" w:cs="宋体"/>
          <w:color w:val="auto"/>
          <w:sz w:val="24"/>
          <w:highlight w:val="none"/>
          <w:lang w:val="zh-CN"/>
        </w:rPr>
        <w:t xml:space="preserve">在通用类货物、家具、印刷、公务车辆维修等采购项目中，供应商</w:t>
      </w:r>
      <w:r>
        <w:rPr>
          <w:rFonts w:hint="eastAsia" w:ascii="宋体" w:hAnsi="宋体" w:cs="宋体"/>
          <w:color w:val="auto"/>
          <w:sz w:val="24"/>
          <w:highlight w:val="none"/>
        </w:rPr>
        <w:t xml:space="preserve">应</w:t>
      </w:r>
      <w:r>
        <w:rPr>
          <w:rFonts w:hint="eastAsia" w:ascii="宋体" w:hAnsi="宋体" w:cs="宋体"/>
          <w:color w:val="auto"/>
          <w:sz w:val="24"/>
          <w:highlight w:val="none"/>
          <w:lang w:val="zh-CN"/>
        </w:rPr>
        <w:t xml:space="preserve">优先使用低挥发性原辅材料</w:t>
      </w:r>
      <w:r>
        <w:rPr>
          <w:rFonts w:hint="eastAsia" w:ascii="宋体" w:hAnsi="宋体" w:cs="宋体"/>
          <w:color w:val="auto"/>
          <w:sz w:val="24"/>
          <w:highlight w:val="none"/>
        </w:rPr>
        <w:t xml:space="preserve">，将使用低</w:t>
      </w:r>
      <w:r>
        <w:rPr>
          <w:rFonts w:hint="eastAsia" w:ascii="宋体" w:hAnsi="宋体" w:cs="宋体"/>
          <w:color w:val="auto"/>
          <w:sz w:val="24"/>
          <w:highlight w:val="none"/>
          <w:lang w:val="zh-CN"/>
        </w:rPr>
        <w:t xml:space="preserve">VOCs含量的</w:t>
      </w:r>
      <w:r>
        <w:rPr>
          <w:rFonts w:hint="eastAsia" w:ascii="宋体" w:hAnsi="宋体" w:cs="宋体"/>
          <w:color w:val="auto"/>
          <w:sz w:val="24"/>
          <w:highlight w:val="none"/>
        </w:rPr>
        <w:t xml:space="preserve">涂料、</w:t>
      </w:r>
      <w:r>
        <w:rPr>
          <w:rFonts w:hint="eastAsia" w:ascii="宋体" w:hAnsi="宋体" w:cs="宋体"/>
          <w:color w:val="auto"/>
          <w:sz w:val="24"/>
          <w:highlight w:val="none"/>
          <w:lang w:val="zh-CN"/>
        </w:rPr>
        <w:t xml:space="preserve">胶黏剂</w:t>
      </w:r>
      <w:r>
        <w:rPr>
          <w:rFonts w:hint="eastAsia" w:ascii="宋体" w:hAnsi="宋体" w:cs="宋体"/>
          <w:color w:val="auto"/>
          <w:sz w:val="24"/>
          <w:highlight w:val="none"/>
        </w:rPr>
        <w:t xml:space="preserve">等纳入合同条款。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未按要求提供相关材料的，不享受相关政策。</w:t>
      </w:r>
      <w:r/>
    </w:p>
    <w:p>
      <w:pPr>
        <w:pStyle w:val="852"/>
        <w:spacing w:line="360" w:lineRule="auto"/>
        <w:rPr>
          <w:rFonts w:hint="eastAsia" w:ascii="宋体" w:hAnsi="宋体" w:eastAsia="宋体" w:cs="宋体"/>
          <w:color w:val="auto"/>
          <w:highlight w:val="none"/>
        </w:rPr>
        <w:outlineLvl w:val="1"/>
      </w:pPr>
      <w:r/>
      <w:bookmarkStart w:id="43" w:name="_Toc81493168"/>
      <w:r/>
      <w:bookmarkStart w:id="44" w:name="_Toc514054478"/>
      <w:r/>
      <w:bookmarkStart w:id="45" w:name="_Toc9744"/>
      <w:r>
        <w:rPr>
          <w:rFonts w:hint="eastAsia" w:ascii="宋体" w:hAnsi="宋体" w:eastAsia="宋体" w:cs="宋体"/>
          <w:color w:val="auto"/>
          <w:highlight w:val="none"/>
        </w:rPr>
        <w:t xml:space="preserve">七、中标及合同签订</w:t>
      </w:r>
      <w:bookmarkEnd w:id="43"/>
      <w:r/>
      <w:bookmarkEnd w:id="44"/>
      <w:r/>
      <w:bookmarkEnd w:id="45"/>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360" w:lineRule="auto"/>
        <w:rPr>
          <w:rFonts w:hint="eastAsia" w:ascii="宋体" w:hAnsi="宋体" w:cs="宋体"/>
          <w:color w:val="auto"/>
          <w:sz w:val="24"/>
          <w:highlight w:val="none"/>
        </w:rPr>
      </w:pPr>
      <w:r/>
      <w:bookmarkStart w:id="46"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46"/>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spacing w:line="360" w:lineRule="auto"/>
        <w:rPr>
          <w:rFonts w:hint="eastAsia" w:ascii="宋体" w:hAnsi="宋体" w:cs="宋体"/>
          <w:color w:val="auto"/>
          <w:sz w:val="24"/>
          <w:szCs w:val="24"/>
          <w:highlight w:val="none"/>
        </w:rPr>
      </w:pPr>
      <w:r/>
      <w:bookmarkStart w:id="47" w:name="EB3094b551b51c42ca93e0255d679fb06f"/>
      <w:r>
        <w:rPr>
          <w:rFonts w:hint="eastAsia" w:ascii="宋体" w:hAnsi="宋体" w:cs="宋体"/>
          <w:color w:val="auto"/>
          <w:sz w:val="24"/>
          <w:szCs w:val="24"/>
          <w:highlight w:val="none"/>
        </w:rPr>
        <w:t xml:space="preserve">见前附表。 </w:t>
      </w:r>
      <w:bookmarkEnd w:id="47"/>
      <w:r/>
      <w:bookmarkStart w:id="48" w:name="EB0d6067c6e00d44b1ad5603550c455e87"/>
      <w:r>
        <w:rPr>
          <w:rFonts w:hint="eastAsia" w:ascii="宋体" w:hAnsi="宋体" w:cs="宋体"/>
          <w:color w:val="auto"/>
          <w:sz w:val="24"/>
          <w:szCs w:val="24"/>
          <w:highlight w:val="none"/>
        </w:rPr>
        <w:t xml:space="preserve"> </w:t>
      </w:r>
      <w:bookmarkEnd w:id="48"/>
      <w:r/>
      <w:r/>
    </w:p>
    <w:p>
      <w:pPr>
        <w:pStyle w:val="852"/>
        <w:spacing w:line="360" w:lineRule="auto"/>
        <w:rPr>
          <w:rFonts w:hint="eastAsia" w:ascii="宋体" w:hAnsi="宋体" w:eastAsia="宋体" w:cs="宋体"/>
          <w:color w:val="auto"/>
          <w:highlight w:val="none"/>
        </w:rPr>
        <w:outlineLvl w:val="1"/>
      </w:pPr>
      <w:r/>
      <w:bookmarkStart w:id="49" w:name="_Toc514054479"/>
      <w:r/>
      <w:bookmarkStart w:id="50" w:name="_Toc25599"/>
      <w:r/>
      <w:bookmarkStart w:id="51" w:name="_Toc81493169"/>
      <w:r>
        <w:rPr>
          <w:rFonts w:hint="eastAsia" w:ascii="宋体" w:hAnsi="宋体" w:eastAsia="宋体" w:cs="宋体"/>
          <w:color w:val="auto"/>
          <w:highlight w:val="none"/>
        </w:rPr>
        <w:t xml:space="preserve">八、验收及付款</w:t>
      </w:r>
      <w:bookmarkEnd w:id="49"/>
      <w:r/>
      <w:bookmarkEnd w:id="50"/>
      <w:r/>
      <w:bookmarkEnd w:id="51"/>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360" w:lineRule="auto"/>
        <w:rPr>
          <w:rFonts w:hint="eastAsia" w:ascii="宋体" w:hAnsi="宋体" w:cs="宋体"/>
          <w:color w:val="auto"/>
          <w:sz w:val="24"/>
          <w:highlight w:val="none"/>
        </w:rPr>
      </w:pPr>
      <w:r/>
      <w:bookmarkStart w:id="52" w:name="EBbbb2492ed6b84c9193a6bb6f72a512f3"/>
      <w:r>
        <w:rPr>
          <w:rFonts w:hint="eastAsia" w:ascii="宋体" w:hAnsi="宋体" w:cs="宋体"/>
          <w:color w:val="auto"/>
          <w:sz w:val="24"/>
          <w:highlight w:val="none"/>
        </w:rPr>
        <w:t xml:space="preserve">35.1由采购人组织验收，中标人配合。</w:t>
      </w:r>
      <w:bookmarkEnd w:id="52"/>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36、预付款制度</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36.1</w:t>
      </w:r>
      <w:r>
        <w:rPr>
          <w:rFonts w:hint="eastAsia" w:ascii="宋体" w:hAnsi="宋体" w:cs="宋体"/>
          <w:color w:val="auto"/>
          <w:sz w:val="24"/>
          <w:highlight w:val="none"/>
        </w:rPr>
        <w:t xml:space="preserve">本项目落实预付款制度，合同签订后，采购人自收到发票后10个工作日内，支付合同金额的</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0%作为预付款。</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、付款</w:t>
      </w:r>
      <w:r/>
    </w:p>
    <w:p>
      <w:pPr>
        <w:ind w:firstLine="480"/>
        <w:spacing w:line="360" w:lineRule="auto"/>
        <w:rPr>
          <w:rFonts w:hint="eastAsia" w:ascii="宋体" w:hAnsi="宋体" w:cs="宋体"/>
          <w:color w:val="auto"/>
          <w:sz w:val="24"/>
          <w:highlight w:val="none"/>
        </w:rPr>
      </w:pPr>
      <w:r/>
      <w:bookmarkStart w:id="53" w:name="EBf0da31fab3a04ad0893de83144a87b34"/>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.1</w:t>
      </w:r>
      <w:bookmarkEnd w:id="53"/>
      <w:r>
        <w:rPr>
          <w:rFonts w:hint="eastAsia" w:ascii="宋体" w:hAnsi="宋体" w:cs="宋体"/>
          <w:color w:val="auto"/>
          <w:sz w:val="24"/>
          <w:highlight w:val="none"/>
        </w:rPr>
        <w:t xml:space="preserve"> 采购人按招标文件要求办理采购款支付手续。</w:t>
      </w:r>
      <w:r/>
    </w:p>
    <w:p>
      <w:pPr>
        <w:pStyle w:val="852"/>
        <w:spacing w:line="360" w:lineRule="auto"/>
        <w:rPr>
          <w:rFonts w:hint="eastAsia" w:ascii="宋体" w:hAnsi="宋体" w:eastAsia="宋体" w:cs="宋体"/>
          <w:color w:val="auto"/>
          <w:highlight w:val="none"/>
        </w:rPr>
        <w:outlineLvl w:val="1"/>
      </w:pPr>
      <w:r/>
      <w:bookmarkStart w:id="54" w:name="_Toc514054480"/>
      <w:r/>
      <w:bookmarkStart w:id="55" w:name="_Toc10945"/>
      <w:r/>
      <w:bookmarkStart w:id="56" w:name="_Toc81493170"/>
      <w:r>
        <w:rPr>
          <w:rFonts w:hint="eastAsia" w:ascii="宋体" w:hAnsi="宋体" w:eastAsia="宋体" w:cs="宋体"/>
          <w:color w:val="auto"/>
          <w:highlight w:val="none"/>
        </w:rPr>
        <w:t xml:space="preserve">九、质疑与投诉</w:t>
      </w:r>
      <w:bookmarkEnd w:id="54"/>
      <w:r/>
      <w:bookmarkEnd w:id="55"/>
      <w:r/>
      <w:bookmarkEnd w:id="56"/>
      <w:r/>
      <w:r/>
    </w:p>
    <w:p>
      <w:pPr>
        <w:ind w:firstLine="422"/>
        <w:spacing w:line="360" w:lineRule="auto"/>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jc w:val="center"/>
        <w:spacing w:line="360" w:lineRule="auto"/>
        <w:rPr>
          <w:rFonts w:hint="eastAsia"/>
          <w:b/>
          <w:color w:val="auto"/>
          <w:sz w:val="44"/>
          <w:szCs w:val="4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41"/>
      <w:r>
        <w:rPr>
          <w:rFonts w:hint="eastAsia"/>
          <w:b/>
          <w:color w:val="auto"/>
          <w:sz w:val="44"/>
          <w:szCs w:val="44"/>
          <w:highlight w:val="none"/>
        </w:rPr>
        <w:br w:type="page" w:clear="all"/>
      </w:r>
      <w:bookmarkStart w:id="57" w:name="EB4d341233595e4bf8ad7006b4bd78d974"/>
      <w:r/>
      <w:bookmarkEnd w:id="57"/>
      <w:r/>
      <w:bookmarkStart w:id="58" w:name="_Toc22015"/>
      <w:r>
        <w:rPr>
          <w:rFonts w:hint="eastAsia"/>
          <w:b/>
          <w:color w:val="auto"/>
          <w:sz w:val="44"/>
          <w:szCs w:val="44"/>
          <w:highlight w:val="none"/>
        </w:rPr>
        <w:t xml:space="preserve">第三部分  </w:t>
      </w:r>
      <w:bookmarkEnd w:id="58"/>
      <w:r>
        <w:rPr>
          <w:rFonts w:hint="eastAsia"/>
          <w:b/>
          <w:color w:val="auto"/>
          <w:sz w:val="44"/>
          <w:szCs w:val="44"/>
          <w:highlight w:val="none"/>
        </w:rPr>
        <w:t xml:space="preserve">评标方法和标准</w:t>
      </w:r>
      <w:r/>
    </w:p>
    <w:p>
      <w:pPr>
        <w:ind w:firstLine="643"/>
        <w:spacing w:before="156" w:after="156" w:line="360" w:lineRule="auto"/>
        <w:rPr>
          <w:b/>
          <w:color w:val="auto"/>
          <w:sz w:val="32"/>
          <w:szCs w:val="32"/>
          <w:highlight w:val="none"/>
        </w:rPr>
        <w:outlineLvl w:val="1"/>
      </w:pPr>
      <w:r/>
      <w:bookmarkStart w:id="59" w:name="_Toc24217_WPSOffice_Level2"/>
      <w:r/>
      <w:bookmarkStart w:id="60" w:name="_Toc4647"/>
      <w:r>
        <w:rPr>
          <w:rFonts w:hint="eastAsia"/>
          <w:b/>
          <w:color w:val="auto"/>
          <w:sz w:val="32"/>
          <w:szCs w:val="32"/>
          <w:highlight w:val="none"/>
        </w:rPr>
        <w:t xml:space="preserve">一、资格审查</w:t>
      </w:r>
      <w:bookmarkEnd w:id="59"/>
      <w:r/>
      <w:bookmarkEnd w:id="60"/>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采购人按照下列指标对各投标人的资格进行审查，未通过审查的为无效标，不参与评标。</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00"/>
        <w:gridCol w:w="4263"/>
      </w:tblGrid>
      <w:tr>
        <w:trPr>
          <w:jc w:val="center"/>
        </w:trPr>
        <w:tc>
          <w:tcPr>
            <w:tcW w:w="49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263"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288"/>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具有独立承担民事责任的能力</w:t>
            </w:r>
            <w:r/>
          </w:p>
        </w:tc>
        <w:tc>
          <w:tcPr>
            <w:tcW w:w="4263" w:type="dxa"/>
            <w:vAlign w:val="center"/>
            <w:vMerge w:val="restart"/>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符合招标文件第11条“投标文件构成”的要求</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具有良好的商业信誉和健全的财务会计制度</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具有履行合同所必需的设备和专业技术能力</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Arial"/>
                <w:bCs/>
                <w:color w:val="auto"/>
                <w:sz w:val="24"/>
                <w:szCs w:val="24"/>
                <w:highlight w:val="none"/>
              </w:rPr>
              <w:t xml:space="preserve">有依法缴纳税收和社会保障资金的良好记录</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12"/>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287"/>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信用信息</w:t>
            </w:r>
            <w:r/>
          </w:p>
        </w:tc>
        <w:tc>
          <w:tcPr>
            <w:tcW w:w="4263" w:type="dxa"/>
            <w:vAlign w:val="center"/>
            <w:vMerge w:val="continue"/>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投标人的关联性要求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Height w:val="90"/>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未提供进口产品（不允许采购进口产品时适用）</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900"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特定资格要求</w:t>
            </w:r>
            <w:r/>
          </w:p>
        </w:tc>
        <w:tc>
          <w:tcPr>
            <w:tcW w:w="4263"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line="360" w:lineRule="auto"/>
        <w:rPr>
          <w:rFonts w:hint="eastAsia"/>
          <w:b/>
          <w:color w:val="auto"/>
          <w:sz w:val="32"/>
          <w:szCs w:val="32"/>
          <w:highlight w:val="none"/>
        </w:rPr>
        <w:outlineLvl w:val="1"/>
      </w:pPr>
      <w:r>
        <w:rPr>
          <w:rFonts w:hint="eastAsia"/>
          <w:b/>
          <w:color w:val="auto"/>
          <w:sz w:val="32"/>
          <w:szCs w:val="32"/>
          <w:highlight w:val="none"/>
        </w:rPr>
        <w:t xml:space="preserve">二、符合性审查</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符合性审查是指依据招标文件的规定，从商务和技术角度对投标文件的有效性和完整性进行审查，以确定是否对招标文件的实质性要求做出响应。</w:t>
      </w:r>
      <w:r/>
    </w:p>
    <w:p>
      <w:pPr>
        <w:ind w:firstLine="42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未通过审查的为无效标，不再参与评审。</w:t>
      </w:r>
      <w:r/>
    </w:p>
    <w:tbl>
      <w:tblPr>
        <w:tblStyle w:val="671"/>
        <w:tblW w:w="91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72"/>
        <w:gridCol w:w="4400"/>
      </w:tblGrid>
      <w:tr>
        <w:trPr>
          <w:jc w:val="center"/>
        </w:trPr>
        <w:tc>
          <w:tcPr>
            <w:tcW w:w="477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4400"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jc w:val="center"/>
          <w:trHeight w:val="90"/>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jc w:val="center"/>
          <w:trHeight w:val="287"/>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报价格式、填写符合要求 </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jc w:val="center"/>
        </w:trPr>
        <w:tc>
          <w:tcPr>
            <w:tcW w:w="4772" w:type="dxa"/>
            <w:vAlign w:val="center"/>
            <w:textDirection w:val="lrTb"/>
            <w:noWrap w:val="false"/>
          </w:tcPr>
          <w:p>
            <w:pPr>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4400"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spacing w:line="360" w:lineRule="auto"/>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61" w:name="_Toc11959"/>
      <w:r>
        <w:rPr>
          <w:rFonts w:hint="eastAsia" w:ascii="宋体" w:hAnsi="宋体" w:cs="宋体"/>
          <w:color w:val="auto"/>
          <w:sz w:val="20"/>
          <w:highlight w:val="none"/>
        </w:rPr>
        <w:t xml:space="preserve">   </w:t>
      </w:r>
      <w:r>
        <w:rPr>
          <w:rFonts w:hint="eastAsia" w:ascii="宋体" w:hAnsi="宋体" w:cs="宋体"/>
          <w:b/>
          <w:color w:val="auto"/>
          <w:sz w:val="32"/>
          <w:szCs w:val="32"/>
          <w:highlight w:val="none"/>
        </w:rPr>
        <w:t xml:space="preserve">三、评分办法—综合评分法</w:t>
      </w:r>
      <w:bookmarkEnd w:id="61"/>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综合评分保留至小数点后两位。 </w:t>
      </w:r>
      <w:r/>
    </w:p>
    <w:p>
      <w:pPr>
        <w:numPr>
          <w:ilvl w:val="0"/>
          <w:numId w:val="4"/>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详细评审。评标委员会按照招标文件规定的评分标准，对各投标文件进行详细评审打分。评标委员会组长对各评审专家的打分情况进行复核无误后汇总，形成评审报告。</w:t>
      </w:r>
      <w:r/>
    </w:p>
    <w:p>
      <w:pPr>
        <w:numPr>
          <w:ilvl w:val="0"/>
          <w:numId w:val="4"/>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评标结果。评标委员会按照本办法规定推荐中标候选人，并形成评标报告。</w:t>
      </w:r>
      <w:r/>
    </w:p>
    <w:p>
      <w:pPr>
        <w:jc w:val="left"/>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numPr>
          <w:ilvl w:val="0"/>
          <w:numId w:val="0"/>
        </w:numPr>
        <w:ind w:firstLine="281"/>
        <w:keepLines w:val="0"/>
        <w:keepNext w:val="0"/>
        <w:pageBreakBefore w:val="0"/>
        <w:spacing w:line="360" w:lineRule="auto"/>
        <w:widowControl w:val="off"/>
        <w:rPr>
          <w:rFonts w:hint="eastAsia" w:ascii="宋体" w:hAnsi="宋体" w:cs="宋体"/>
          <w:b/>
          <w:bCs w:val="0"/>
          <w:color w:val="auto"/>
          <w:sz w:val="28"/>
          <w:szCs w:val="28"/>
          <w:highlight w:val="none"/>
        </w:rPr>
      </w:pPr>
      <w:r>
        <w:rPr>
          <w:rFonts w:hint="eastAsia" w:ascii="宋体" w:hAnsi="宋体" w:cs="宋体"/>
          <w:b/>
          <w:bCs w:val="0"/>
          <w:color w:val="auto"/>
          <w:sz w:val="28"/>
          <w:szCs w:val="28"/>
          <w:highlight w:val="none"/>
          <w:lang w:eastAsia="zh-CN"/>
        </w:rPr>
        <w:t xml:space="preserve">评分</w:t>
      </w:r>
      <w:r>
        <w:rPr>
          <w:rFonts w:hint="eastAsia" w:ascii="宋体" w:hAnsi="宋体" w:cs="宋体"/>
          <w:b/>
          <w:bCs w:val="0"/>
          <w:color w:val="auto"/>
          <w:sz w:val="28"/>
          <w:szCs w:val="28"/>
          <w:highlight w:val="none"/>
          <w:lang w:val="en-US" w:eastAsia="zh-CN"/>
        </w:rPr>
        <w:t xml:space="preserve">标准：</w:t>
      </w:r>
      <w:r/>
    </w:p>
    <w:p>
      <w:pPr>
        <w:ind w:right="-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tbl>
      <w:tblPr>
        <w:tblStyle w:val="67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4"/>
        <w:gridCol w:w="7880"/>
        <w:gridCol w:w="705"/>
      </w:tblGrid>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 （30分）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1.评标总价是指通过“投标文件初审”的投标人的经商务性评审（修正小微企业、节能产品和环保产品扣除等）后的总价。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2.评标基准价=评标总价中的最低总价。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3.当投标人的评标总价等于评标基准价的得30分，其他投标人的价格分按照下列公式计算：评标总价得分=（评标基准价/评标总价）×30分（计算结果保留2位小数，第三位四舍五入）。</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技术响应</w:t>
            </w:r>
            <w:r>
              <w:rPr>
                <w:rFonts w:hint="eastAsia" w:ascii="宋体" w:hAnsi="宋体" w:eastAsia="宋体" w:cs="宋体"/>
                <w:i w:val="0"/>
                <w:iCs w:val="0"/>
                <w:color w:val="auto"/>
                <w:sz w:val="24"/>
                <w:szCs w:val="24"/>
                <w:highlight w:val="none"/>
                <w:u w:val="none"/>
                <w:lang w:val="en-US" w:eastAsia="zh-CN" w:bidi="ar"/>
              </w:rPr>
              <w:t xml:space="preserve">（4</w:t>
            </w:r>
            <w:r>
              <w:rPr>
                <w:rFonts w:hint="eastAsia" w:ascii="宋体" w:hAnsi="宋体" w:cs="宋体"/>
                <w:i w:val="0"/>
                <w:iCs w:val="0"/>
                <w:color w:val="auto"/>
                <w:sz w:val="24"/>
                <w:szCs w:val="24"/>
                <w:highlight w:val="none"/>
                <w:u w:val="none"/>
                <w:lang w:val="en-US" w:eastAsia="zh-CN" w:bidi="ar"/>
              </w:rPr>
              <w:t xml:space="preserve">6.5</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投标人所投设备完全响应招标文件第四章第</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条“</w:t>
            </w:r>
            <w:r>
              <w:rPr>
                <w:rFonts w:hint="eastAsia" w:ascii="宋体" w:hAnsi="宋体" w:cs="宋体"/>
                <w:color w:val="auto"/>
                <w:sz w:val="24"/>
                <w:szCs w:val="24"/>
                <w:highlight w:val="none"/>
                <w:lang w:val="en-US" w:eastAsia="zh-CN"/>
              </w:rPr>
              <w:t xml:space="preserve">技术参数要求</w:t>
            </w:r>
            <w:r>
              <w:rPr>
                <w:rFonts w:hint="eastAsia" w:ascii="宋体" w:hAnsi="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，得基准分</w:t>
            </w:r>
            <w:r>
              <w:rPr>
                <w:rFonts w:hint="eastAsia" w:ascii="宋体" w:hAnsi="宋体" w:cs="宋体"/>
                <w:color w:val="auto"/>
                <w:sz w:val="24"/>
                <w:szCs w:val="24"/>
                <w:highlight w:val="none"/>
                <w:lang w:val="en-US" w:eastAsia="zh-CN"/>
              </w:rPr>
              <w:t xml:space="preserve">46.5</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标▲号的技术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项），响应招标文件</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cs="宋体"/>
                <w:color w:val="auto"/>
                <w:sz w:val="24"/>
                <w:szCs w:val="24"/>
                <w:highlight w:val="none"/>
                <w:lang w:val="en-US" w:eastAsia="zh-CN"/>
              </w:rPr>
              <w:t xml:space="preserve">加2</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最高得10分；</w:t>
            </w:r>
            <w:r/>
          </w:p>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项），</w:t>
            </w:r>
            <w:r>
              <w:rPr>
                <w:rFonts w:hint="eastAsia" w:ascii="宋体" w:hAnsi="宋体" w:cs="宋体"/>
                <w:color w:val="auto"/>
                <w:sz w:val="24"/>
                <w:szCs w:val="24"/>
                <w:highlight w:val="none"/>
                <w:lang w:val="en-US" w:eastAsia="zh-CN"/>
              </w:rPr>
              <w:t xml:space="preserve">产品一（</w:t>
            </w:r>
            <w:r>
              <w:rPr>
                <w:rFonts w:hint="eastAsia" w:ascii="宋体" w:hAnsi="宋体" w:cs="宋体"/>
                <w:color w:val="auto"/>
                <w:sz w:val="24"/>
                <w:szCs w:val="24"/>
                <w:lang w:val="en-US" w:eastAsia="zh-CN"/>
              </w:rPr>
              <w:t xml:space="preserve">激光和强脉冲光工作站</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注册使用期限</w:t>
            </w:r>
            <w:r>
              <w:rPr>
                <w:rFonts w:hint="eastAsia" w:ascii="宋体" w:hAnsi="宋体" w:cs="宋体"/>
                <w:color w:val="auto"/>
                <w:sz w:val="24"/>
                <w:szCs w:val="24"/>
                <w:highlight w:val="none"/>
                <w:lang w:val="en-US" w:eastAsia="zh-CN"/>
              </w:rPr>
              <w:t xml:space="preserve">等于</w:t>
            </w:r>
            <w:r>
              <w:rPr>
                <w:rFonts w:hint="eastAsia" w:ascii="宋体" w:hAnsi="宋体" w:eastAsia="宋体" w:cs="宋体"/>
                <w:color w:val="auto"/>
                <w:sz w:val="24"/>
                <w:szCs w:val="24"/>
                <w:highlight w:val="none"/>
                <w:lang w:val="en-US" w:eastAsia="zh-CN"/>
              </w:rPr>
              <w:t xml:space="preserve">5年</w:t>
            </w:r>
            <w:r>
              <w:rPr>
                <w:rFonts w:hint="eastAsia" w:ascii="宋体" w:hAnsi="宋体" w:cs="宋体"/>
                <w:color w:val="auto"/>
                <w:sz w:val="24"/>
                <w:szCs w:val="24"/>
                <w:highlight w:val="none"/>
                <w:lang w:val="en-US" w:eastAsia="zh-CN"/>
              </w:rPr>
              <w:t xml:space="preserve">的不得分，在5年基础上每增加1年，加1分，最高得5分；产品二（</w:t>
            </w:r>
            <w:r>
              <w:rPr>
                <w:rFonts w:hint="eastAsia" w:ascii="宋体" w:hAnsi="宋体" w:cs="宋体"/>
                <w:color w:val="auto"/>
                <w:sz w:val="24"/>
                <w:szCs w:val="24"/>
                <w:vertAlign w:val="baseline"/>
                <w:lang w:val="en-US" w:eastAsia="zh-CN"/>
              </w:rPr>
              <w:t xml:space="preserve">皮秒激光治疗仪</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注册使用期限</w:t>
            </w:r>
            <w:r>
              <w:rPr>
                <w:rFonts w:hint="eastAsia" w:ascii="宋体" w:hAnsi="宋体" w:cs="宋体"/>
                <w:color w:val="auto"/>
                <w:sz w:val="24"/>
                <w:szCs w:val="24"/>
                <w:highlight w:val="none"/>
                <w:lang w:val="en-US" w:eastAsia="zh-CN"/>
              </w:rPr>
              <w:t xml:space="preserve">等于</w:t>
            </w:r>
            <w:r>
              <w:rPr>
                <w:rFonts w:hint="eastAsia" w:ascii="宋体" w:hAnsi="宋体" w:eastAsia="宋体" w:cs="宋体"/>
                <w:color w:val="auto"/>
                <w:sz w:val="24"/>
                <w:szCs w:val="24"/>
                <w:highlight w:val="none"/>
                <w:lang w:val="en-US" w:eastAsia="zh-CN"/>
              </w:rPr>
              <w:t xml:space="preserve">5年</w:t>
            </w:r>
            <w:r>
              <w:rPr>
                <w:rFonts w:hint="eastAsia" w:ascii="宋体" w:hAnsi="宋体" w:cs="宋体"/>
                <w:color w:val="auto"/>
                <w:sz w:val="24"/>
                <w:szCs w:val="24"/>
                <w:highlight w:val="none"/>
                <w:lang w:val="en-US" w:eastAsia="zh-CN"/>
              </w:rPr>
              <w:t xml:space="preserve">的不得分，在5年基础上每增加1年，加1.5分，最高得7.5分；</w:t>
            </w:r>
            <w:r/>
          </w:p>
          <w:p>
            <w:pP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非▲号</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号的技术</w:t>
            </w:r>
            <w:r>
              <w:rPr>
                <w:rFonts w:hint="eastAsia" w:ascii="宋体" w:hAnsi="宋体" w:eastAsia="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lang w:eastAsia="zh-CN"/>
              </w:rPr>
              <w:t xml:space="preserve">（共</w:t>
            </w:r>
            <w:r>
              <w:rPr>
                <w:rFonts w:hint="eastAsia" w:ascii="宋体" w:hAnsi="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eastAsia="zh-CN"/>
              </w:rPr>
              <w:t xml:space="preserve">项），响应招标文件</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每项</w:t>
            </w:r>
            <w:r>
              <w:rPr>
                <w:rFonts w:hint="eastAsia" w:ascii="宋体" w:hAnsi="宋体" w:cs="宋体"/>
                <w:color w:val="auto"/>
                <w:sz w:val="24"/>
                <w:szCs w:val="24"/>
                <w:highlight w:val="none"/>
                <w:lang w:val="en-US" w:eastAsia="zh-CN"/>
              </w:rPr>
              <w:t xml:space="preserve">加1</w:t>
            </w:r>
            <w:r>
              <w:rPr>
                <w:rFonts w:hint="eastAsia" w:ascii="宋体" w:hAnsi="宋体" w:eastAsia="宋体" w:cs="宋体"/>
                <w:color w:val="auto"/>
                <w:sz w:val="24"/>
                <w:szCs w:val="24"/>
                <w:highlight w:val="none"/>
                <w:lang w:eastAsia="zh-CN"/>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最高得24分；</w:t>
            </w:r>
            <w:r/>
          </w:p>
          <w:p>
            <w:pPr>
              <w:numPr>
                <w:ilvl w:val="0"/>
                <w:numId w:val="0"/>
              </w:num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技术参数要求”中明确要求提供证明材料的以证明材料加盖投标人公章为准，未作要求的以投标人提供的《技术参数响应及偏离表》为准，技术参数中每一小条的要求为一项；2、对通过提供虚假材料谋取中标的，货到验收技术参数与投标文件不符时，采购方可以拒收货、拒付款，并且供货方必须承担相应的法律责任。</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46.5</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履约能力</w:t>
            </w: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投标人（或代理商、厂商） 提供自2022年1月1日（含）（以合同签订时间为准）以来</w:t>
            </w:r>
            <w:r>
              <w:rPr>
                <w:rFonts w:hint="eastAsia" w:ascii="宋体" w:hAnsi="宋体" w:cs="宋体"/>
                <w:i w:val="0"/>
                <w:iCs w:val="0"/>
                <w:color w:val="auto"/>
                <w:sz w:val="24"/>
                <w:szCs w:val="24"/>
                <w:highlight w:val="none"/>
                <w:u w:val="none"/>
                <w:lang w:val="en-US" w:eastAsia="zh-CN" w:bidi="ar"/>
              </w:rPr>
              <w:t xml:space="preserve">任一产品的</w:t>
            </w:r>
            <w:r>
              <w:rPr>
                <w:rFonts w:hint="eastAsia" w:ascii="宋体" w:hAnsi="宋体" w:eastAsia="宋体" w:cs="宋体"/>
                <w:i w:val="0"/>
                <w:iCs w:val="0"/>
                <w:color w:val="auto"/>
                <w:sz w:val="24"/>
                <w:szCs w:val="24"/>
                <w:highlight w:val="none"/>
                <w:u w:val="none"/>
                <w:lang w:val="en-US" w:eastAsia="zh-CN" w:bidi="ar"/>
              </w:rPr>
              <w:t xml:space="preserve">类似项目的业绩合同复印件，并加盖投标人公章，有1项得</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分，本项最高得</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分。（投标时须提供合同复印件加盖公章，</w:t>
            </w:r>
            <w:r>
              <w:rPr>
                <w:rFonts w:hint="eastAsia" w:ascii="宋体" w:hAnsi="宋体" w:cs="宋体"/>
                <w:i w:val="0"/>
                <w:iCs w:val="0"/>
                <w:color w:val="auto"/>
                <w:sz w:val="24"/>
                <w:szCs w:val="24"/>
                <w:highlight w:val="none"/>
                <w:u w:val="none"/>
                <w:lang w:val="en-US" w:eastAsia="zh-CN" w:bidi="ar"/>
              </w:rPr>
              <w:t xml:space="preserve">采购需求中同一产品的类似业绩最多算2份业绩得分。</w:t>
            </w:r>
            <w:r>
              <w:rPr>
                <w:rFonts w:hint="eastAsia" w:ascii="宋体" w:hAnsi="宋体" w:eastAsia="宋体" w:cs="宋体"/>
                <w:i w:val="0"/>
                <w:iCs w:val="0"/>
                <w:color w:val="auto"/>
                <w:sz w:val="24"/>
                <w:szCs w:val="24"/>
                <w:highlight w:val="none"/>
                <w:u w:val="none"/>
                <w:lang w:val="en-US" w:eastAsia="zh-CN" w:bidi="ar"/>
              </w:rPr>
              <w:t xml:space="preserve">合同要素至少包含合同双方名称</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货物名称、品牌型号及合同签订时间（2022年1月1日起，含），合同要素不完整或者内容不清晰无法辨认或提供不全</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i w:val="0"/>
                <w:iCs w:val="0"/>
                <w:color w:val="auto"/>
                <w:sz w:val="24"/>
                <w:szCs w:val="24"/>
                <w:highlight w:val="none"/>
                <w:u w:val="none"/>
                <w:lang w:val="en-US" w:eastAsia="zh-CN" w:bidi="ar"/>
              </w:rPr>
              <w:t xml:space="preserve">不得分）。如未按要求提供，不得分。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免费质量保修期（</w:t>
            </w:r>
            <w:r>
              <w:rPr>
                <w:rFonts w:hint="eastAsia" w:ascii="宋体" w:hAnsi="宋体" w:cs="宋体"/>
                <w:i w:val="0"/>
                <w:iCs w:val="0"/>
                <w:color w:val="auto"/>
                <w:sz w:val="24"/>
                <w:szCs w:val="24"/>
                <w:highlight w:val="none"/>
                <w:u w:val="none"/>
                <w:lang w:val="en-US" w:eastAsia="zh-CN" w:bidi="ar"/>
              </w:rPr>
              <w:t xml:space="preserve">2.5</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在项目需求最低质量保修期</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年基础上，每增加1年免费质量保修期的加</w:t>
            </w:r>
            <w:r>
              <w:rPr>
                <w:rFonts w:hint="eastAsia" w:ascii="宋体" w:hAnsi="宋体" w:cs="宋体"/>
                <w:i w:val="0"/>
                <w:iCs w:val="0"/>
                <w:color w:val="auto"/>
                <w:sz w:val="24"/>
                <w:szCs w:val="24"/>
                <w:highlight w:val="none"/>
                <w:u w:val="none"/>
                <w:lang w:val="en-US" w:eastAsia="zh-CN" w:bidi="ar"/>
              </w:rPr>
              <w:t xml:space="preserve">0.5</w:t>
            </w:r>
            <w:r>
              <w:rPr>
                <w:rFonts w:hint="eastAsia" w:ascii="宋体" w:hAnsi="宋体" w:eastAsia="宋体" w:cs="宋体"/>
                <w:i w:val="0"/>
                <w:iCs w:val="0"/>
                <w:color w:val="auto"/>
                <w:sz w:val="24"/>
                <w:szCs w:val="24"/>
                <w:highlight w:val="none"/>
                <w:u w:val="none"/>
                <w:lang w:val="en-US" w:eastAsia="zh-CN" w:bidi="ar"/>
              </w:rPr>
              <w:t xml:space="preserve">分，本项最高得</w:t>
            </w:r>
            <w:r>
              <w:rPr>
                <w:rFonts w:hint="eastAsia" w:ascii="宋体" w:hAnsi="宋体" w:cs="宋体"/>
                <w:i w:val="0"/>
                <w:iCs w:val="0"/>
                <w:color w:val="auto"/>
                <w:sz w:val="24"/>
                <w:szCs w:val="24"/>
                <w:highlight w:val="none"/>
                <w:u w:val="none"/>
                <w:lang w:val="en-US" w:eastAsia="zh-CN" w:bidi="ar"/>
              </w:rPr>
              <w:t xml:space="preserve">2.5</w:t>
            </w:r>
            <w:r>
              <w:rPr>
                <w:rFonts w:hint="eastAsia" w:ascii="宋体" w:hAnsi="宋体" w:eastAsia="宋体" w:cs="宋体"/>
                <w:i w:val="0"/>
                <w:iCs w:val="0"/>
                <w:color w:val="auto"/>
                <w:sz w:val="24"/>
                <w:szCs w:val="24"/>
                <w:highlight w:val="none"/>
                <w:u w:val="none"/>
                <w:lang w:val="en-US" w:eastAsia="zh-CN" w:bidi="ar"/>
              </w:rPr>
              <w:t xml:space="preserve">分。免费质量保修期间产生的所有保修相关费用（</w:t>
            </w:r>
            <w:r>
              <w:rPr>
                <w:rFonts w:hint="eastAsia" w:ascii="宋体" w:hAnsi="宋体" w:cs="宋体"/>
                <w:i w:val="0"/>
                <w:iCs w:val="0"/>
                <w:color w:val="auto"/>
                <w:sz w:val="24"/>
                <w:szCs w:val="24"/>
                <w:highlight w:val="none"/>
                <w:u w:val="none"/>
                <w:lang w:val="en-US" w:eastAsia="zh-CN" w:bidi="ar"/>
              </w:rPr>
              <w:t xml:space="preserve">包含</w:t>
            </w:r>
            <w:r>
              <w:rPr>
                <w:rFonts w:hint="eastAsia" w:ascii="宋体" w:hAnsi="宋体" w:eastAsia="宋体" w:cs="宋体"/>
                <w:i w:val="0"/>
                <w:iCs w:val="0"/>
                <w:color w:val="auto"/>
                <w:sz w:val="24"/>
                <w:szCs w:val="24"/>
                <w:highlight w:val="none"/>
                <w:u w:val="none"/>
                <w:lang w:val="en-US" w:eastAsia="zh-CN" w:bidi="ar"/>
              </w:rPr>
              <w:t xml:space="preserve">人工费、备品备件、耗材、服务费、税金以及保修期间涉及到的其他一切费用</w:t>
            </w:r>
            <w:r>
              <w:rPr>
                <w:rFonts w:hint="eastAsia" w:ascii="宋体" w:hAnsi="宋体" w:cs="宋体"/>
                <w:i w:val="0"/>
                <w:iCs w:val="0"/>
                <w:color w:val="auto"/>
                <w:sz w:val="24"/>
                <w:szCs w:val="24"/>
                <w:highlight w:val="none"/>
                <w:u w:val="none"/>
                <w:lang w:val="en-US" w:eastAsia="zh-CN" w:bidi="ar"/>
              </w:rPr>
              <w:t xml:space="preserve">等</w:t>
            </w:r>
            <w:r>
              <w:rPr>
                <w:rFonts w:hint="eastAsia" w:ascii="宋体" w:hAnsi="宋体" w:eastAsia="宋体" w:cs="宋体"/>
                <w:i w:val="0"/>
                <w:iCs w:val="0"/>
                <w:color w:val="auto"/>
                <w:sz w:val="24"/>
                <w:szCs w:val="24"/>
                <w:highlight w:val="none"/>
                <w:u w:val="none"/>
                <w:lang w:val="en-US" w:eastAsia="zh-CN" w:bidi="ar"/>
              </w:rPr>
              <w:t xml:space="preserve">）全部由投标人承担。（以投标人投标时提供的承诺函（格式自拟）为准，未提供的不得分）。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2.5</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人员配备（</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投标人根据本项目第四部分中“六、人员配备”要求，配备丰富的管理及专业实施人员</w:t>
            </w:r>
            <w:r>
              <w:rPr>
                <w:rFonts w:hint="eastAsia" w:ascii="宋体" w:hAnsi="宋体" w:cs="宋体"/>
                <w:i w:val="0"/>
                <w:iCs w:val="0"/>
                <w:color w:val="auto"/>
                <w:sz w:val="24"/>
                <w:szCs w:val="24"/>
                <w:highlight w:val="none"/>
                <w:u w:val="none"/>
                <w:lang w:val="en-US" w:eastAsia="zh-CN" w:bidi="ar"/>
              </w:rPr>
              <w:t xml:space="preserve">团队，至少包括</w:t>
            </w:r>
            <w:r>
              <w:rPr>
                <w:rFonts w:hint="eastAsia" w:ascii="宋体" w:hAnsi="宋体" w:eastAsia="宋体" w:cs="宋体"/>
                <w:i w:val="0"/>
                <w:iCs w:val="0"/>
                <w:color w:val="auto"/>
                <w:sz w:val="24"/>
                <w:szCs w:val="24"/>
                <w:highlight w:val="none"/>
                <w:u w:val="none"/>
                <w:lang w:val="en-US" w:eastAsia="zh-CN" w:bidi="ar"/>
              </w:rPr>
              <w:t xml:space="preserve">管理人员投入、技术人员投入、安装调试人员投入，管理及专业实施人员配备优于本项目需求的得</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分，管理及专业实施人员配备满足本项目需求的得</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分，管理及专业实施人员配备不满足或不提供不得分。</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cs="宋体"/>
                <w:color w:val="auto"/>
                <w:sz w:val="24"/>
                <w:szCs w:val="24"/>
                <w:highlight w:val="none"/>
              </w:rPr>
              <w:t xml:space="preserve">投标人提供的</w:t>
            </w:r>
            <w:r>
              <w:rPr>
                <w:rFonts w:hint="eastAsia" w:ascii="宋体" w:hAnsi="宋体" w:eastAsia="宋体" w:cs="宋体"/>
                <w:i w:val="0"/>
                <w:iCs w:val="0"/>
                <w:color w:val="auto"/>
                <w:sz w:val="24"/>
                <w:szCs w:val="24"/>
                <w:highlight w:val="none"/>
                <w:u w:val="none"/>
                <w:lang w:val="en-US" w:eastAsia="zh-CN" w:bidi="ar"/>
              </w:rPr>
              <w:t xml:space="preserve">人员</w:t>
            </w:r>
            <w:r>
              <w:rPr>
                <w:rFonts w:hint="eastAsia" w:ascii="宋体" w:hAnsi="宋体" w:cs="宋体"/>
                <w:i w:val="0"/>
                <w:iCs w:val="0"/>
                <w:color w:val="auto"/>
                <w:sz w:val="24"/>
                <w:szCs w:val="24"/>
                <w:highlight w:val="none"/>
                <w:u w:val="none"/>
                <w:lang w:val="en-US" w:eastAsia="zh-CN" w:bidi="ar"/>
              </w:rPr>
              <w:t xml:space="preserve">配备团队</w:t>
            </w:r>
            <w:r>
              <w:rPr>
                <w:rFonts w:hint="eastAsia" w:ascii="宋体" w:hAnsi="宋体" w:cs="宋体"/>
                <w:color w:val="auto"/>
                <w:sz w:val="24"/>
                <w:szCs w:val="24"/>
                <w:highlight w:val="none"/>
              </w:rPr>
              <w:t xml:space="preserve">能全部响应要求，提出更为</w:t>
            </w:r>
            <w:r>
              <w:rPr>
                <w:rFonts w:hint="eastAsia" w:ascii="宋体" w:hAnsi="宋体" w:cs="宋体"/>
                <w:color w:val="auto"/>
                <w:sz w:val="24"/>
                <w:szCs w:val="24"/>
                <w:highlight w:val="none"/>
                <w:lang w:val="en-US" w:eastAsia="zh-CN"/>
              </w:rPr>
              <w:t xml:space="preserve">全面</w:t>
            </w:r>
            <w:r>
              <w:rPr>
                <w:rFonts w:hint="eastAsia" w:ascii="宋体" w:hAnsi="宋体" w:cs="宋体"/>
                <w:color w:val="auto"/>
                <w:sz w:val="24"/>
                <w:szCs w:val="24"/>
                <w:highlight w:val="none"/>
              </w:rPr>
              <w:t xml:space="preserve">、有针对性、切实可行、要求之外且和本项目实施相关的，可视为优于；</w:t>
            </w:r>
            <w:r>
              <w:rPr>
                <w:rFonts w:hint="eastAsia" w:ascii="宋体" w:hAnsi="宋体" w:eastAsia="宋体" w:cs="宋体"/>
                <w:i w:val="0"/>
                <w:iCs w:val="0"/>
                <w:color w:val="auto"/>
                <w:sz w:val="24"/>
                <w:szCs w:val="24"/>
                <w:highlight w:val="none"/>
                <w:u w:val="none"/>
                <w:lang w:val="en-US" w:eastAsia="zh-CN" w:bidi="ar"/>
              </w:rPr>
              <w:t xml:space="preserve">人员</w:t>
            </w:r>
            <w:r>
              <w:rPr>
                <w:rFonts w:hint="eastAsia" w:ascii="宋体" w:hAnsi="宋体" w:cs="宋体"/>
                <w:i w:val="0"/>
                <w:iCs w:val="0"/>
                <w:color w:val="auto"/>
                <w:sz w:val="24"/>
                <w:szCs w:val="24"/>
                <w:highlight w:val="none"/>
                <w:u w:val="none"/>
                <w:lang w:val="en-US" w:eastAsia="zh-CN" w:bidi="ar"/>
              </w:rPr>
              <w:t xml:space="preserve">配备团队</w:t>
            </w:r>
            <w:r>
              <w:rPr>
                <w:rFonts w:hint="eastAsia" w:ascii="宋体" w:hAnsi="宋体" w:cs="宋体"/>
                <w:color w:val="auto"/>
                <w:sz w:val="24"/>
                <w:szCs w:val="24"/>
                <w:highlight w:val="none"/>
              </w:rPr>
              <w:t xml:space="preserve">能响应要求的可视为符合；</w:t>
            </w:r>
            <w:r>
              <w:rPr>
                <w:rFonts w:hint="eastAsia" w:ascii="宋体" w:hAnsi="宋体" w:eastAsia="宋体" w:cs="宋体"/>
                <w:i w:val="0"/>
                <w:iCs w:val="0"/>
                <w:color w:val="auto"/>
                <w:sz w:val="24"/>
                <w:szCs w:val="24"/>
                <w:highlight w:val="none"/>
                <w:u w:val="none"/>
                <w:lang w:val="en-US" w:eastAsia="zh-CN" w:bidi="ar"/>
              </w:rPr>
              <w:t xml:space="preserve">人员</w:t>
            </w:r>
            <w:r>
              <w:rPr>
                <w:rFonts w:hint="eastAsia" w:ascii="宋体" w:hAnsi="宋体" w:cs="宋体"/>
                <w:i w:val="0"/>
                <w:iCs w:val="0"/>
                <w:color w:val="auto"/>
                <w:sz w:val="24"/>
                <w:szCs w:val="24"/>
                <w:highlight w:val="none"/>
                <w:u w:val="none"/>
                <w:lang w:val="en-US" w:eastAsia="zh-CN" w:bidi="ar"/>
              </w:rPr>
              <w:t xml:space="preserve">配备团队</w:t>
            </w:r>
            <w:r>
              <w:rPr>
                <w:rFonts w:hint="eastAsia" w:ascii="宋体" w:hAnsi="宋体" w:cs="宋体"/>
                <w:color w:val="auto"/>
                <w:sz w:val="24"/>
                <w:szCs w:val="24"/>
                <w:highlight w:val="none"/>
              </w:rPr>
              <w:t xml:space="preserve">对于要求的响应不完全或者偏离要求的，视为不符合。具体由评审委员会评审。</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1448"/>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项目实施方案（</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投标人根据本项目第四部分中“7.1.项目实施方案”要求，提供科学合理的项目实施方案，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：①进度保障措施；②</w:t>
            </w:r>
            <w:r>
              <w:rPr>
                <w:rFonts w:hint="eastAsia" w:ascii="宋体" w:hAnsi="宋体" w:eastAsia="宋体" w:cs="宋体"/>
                <w:color w:val="auto"/>
                <w:sz w:val="24"/>
                <w:szCs w:val="24"/>
                <w:highlight w:val="none"/>
                <w:lang w:val="en-US" w:eastAsia="zh-CN"/>
              </w:rPr>
              <w:t xml:space="preserve">供货</w:t>
            </w:r>
            <w:r>
              <w:rPr>
                <w:rFonts w:hint="eastAsia" w:ascii="宋体" w:hAnsi="宋体" w:cs="宋体"/>
                <w:color w:val="auto"/>
                <w:sz w:val="24"/>
                <w:szCs w:val="24"/>
                <w:highlight w:val="none"/>
                <w:lang w:val="en-US" w:eastAsia="zh-CN"/>
              </w:rPr>
              <w:t xml:space="preserve">运输</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设备验收</w:t>
            </w:r>
            <w:r>
              <w:rPr>
                <w:rFonts w:hint="eastAsia" w:ascii="宋体" w:hAnsi="宋体" w:eastAsia="宋体" w:cs="宋体"/>
                <w:color w:val="auto"/>
                <w:sz w:val="24"/>
                <w:szCs w:val="24"/>
                <w:highlight w:val="none"/>
              </w:rPr>
              <w:t xml:space="preserve">方案等方面内容</w:t>
            </w:r>
            <w:r>
              <w:rPr>
                <w:rFonts w:hint="eastAsia" w:ascii="宋体" w:hAnsi="宋体" w:eastAsia="宋体" w:cs="宋体"/>
                <w:color w:val="auto"/>
                <w:sz w:val="24"/>
                <w:szCs w:val="24"/>
                <w:highlight w:val="none"/>
                <w:lang w:eastAsia="zh-CN"/>
              </w:rPr>
              <w:t xml:space="preserve">。</w:t>
            </w:r>
            <w:r/>
          </w:p>
          <w:p>
            <w:pPr>
              <w:jc w:val="left"/>
              <w:keepLines w:val="0"/>
              <w:keepNext w:val="0"/>
              <w:spacing w:line="36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分，每有一项内容缺失的扣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分，每有一处内容存在缺陷或不满足要求的扣1分，扣完为止。（缺陷或不满足指：与实际需求不符、套用其他项目方案、有规范性或常识性错误、存在无关的事项等任意一种情形）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2396"/>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售后服务方案（</w:t>
            </w: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spacing w:line="360" w:lineRule="auto"/>
              <w:widowControl/>
              <w:rPr>
                <w:rFonts w:hint="eastAsia" w:ascii="宋体" w:hAnsi="宋体" w:eastAsia="宋体" w:cs="宋体"/>
                <w:color w:val="auto"/>
                <w:sz w:val="24"/>
                <w:szCs w:val="24"/>
                <w:highlight w:val="yellow"/>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投标人根据本项目第四部分中“7.2.售后服务方案”要求，提供科学合理的售后服务方案，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售后服务体系</w:t>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en-US" w:eastAsia="zh-CN"/>
              </w:rPr>
              <w:t xml:space="preserve">退换货与更换服务</w:t>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lang w:val="en-US" w:eastAsia="zh-CN"/>
              </w:rPr>
              <w:t xml:space="preserve">回访巡检方案</w:t>
            </w:r>
            <w:r>
              <w:rPr>
                <w:rFonts w:hint="eastAsia" w:ascii="宋体" w:hAnsi="宋体" w:cs="宋体"/>
                <w:color w:val="auto"/>
                <w:sz w:val="24"/>
                <w:szCs w:val="24"/>
                <w:highlight w:val="none"/>
                <w:lang w:val="en-US" w:eastAsia="zh-CN"/>
              </w:rPr>
              <w:t xml:space="preserve">等方面内容。</w:t>
            </w:r>
            <w:r/>
          </w:p>
          <w:p>
            <w:pPr>
              <w:jc w:val="left"/>
              <w:keepLines w:val="0"/>
              <w:keepNext w:val="0"/>
              <w:spacing w:line="360" w:lineRule="auto"/>
              <w:widowControl/>
              <w:rPr>
                <w:rFonts w:hint="eastAsia" w:ascii="宋体" w:hAnsi="宋体" w:eastAsia="宋体" w:cs="宋体"/>
                <w:bCs/>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方案内容满足以上全部要求且符合本项目实际需求的，得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分，每有一项内容缺失的扣2分，每有一处内容存在缺陷或不满足要求的扣1分，扣完为止。（缺陷或不满足指：与实际需求不符、套用其他项目方案、有规范性或常识性错误、存在无关的事项等任意一种情形）</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6</w:t>
            </w:r>
            <w:r>
              <w:rPr>
                <w:rFonts w:hint="eastAsia" w:ascii="宋体" w:hAnsi="宋体" w:eastAsia="宋体" w:cs="宋体"/>
                <w:i w:val="0"/>
                <w:iCs w:val="0"/>
                <w:color w:val="auto"/>
                <w:sz w:val="24"/>
                <w:szCs w:val="24"/>
                <w:highlight w:val="none"/>
                <w:u w:val="none"/>
                <w:lang w:val="en-US" w:eastAsia="zh-CN" w:bidi="ar"/>
              </w:rPr>
              <w:t xml:space="preserve">分</w:t>
            </w:r>
            <w:r/>
          </w:p>
        </w:tc>
      </w:tr>
      <w:tr>
        <w:trPr>
          <w:jc w:val="center"/>
          <w:trHeight w:val="1950"/>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节能产品</w:t>
            </w:r>
            <w:r>
              <w:rPr>
                <w:rFonts w:hint="eastAsia" w:ascii="宋体" w:hAnsi="宋体" w:cs="宋体"/>
                <w:i w:val="0"/>
                <w:iCs w:val="0"/>
                <w:color w:val="auto"/>
                <w:sz w:val="24"/>
                <w:szCs w:val="24"/>
                <w:highlight w:val="none"/>
                <w:u w:val="none"/>
                <w:lang w:val="en-US" w:eastAsia="zh-CN" w:bidi="ar"/>
              </w:rPr>
              <w:t xml:space="preserve">（1分）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spacing w:line="36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投标产品属于财政部、国家发改委公布的“节能产品品目清单”范围内的，投标人提供国家确定的认证机构出具的、在开标当日处于有效期之内的该节能产品认证证书复印件并标识出产品型号的，符合要求得1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u w:val="none"/>
                <w:shd w:val="clear" w:color="auto" w:fill="auto"/>
                <w:lang w:bidi="ar"/>
              </w:rPr>
              <w:t xml:space="preserve">特别说明：本项目采购产品未被财政部、国家发改委等列入“节能产品品目清单”强制采购范围。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1分</w:t>
            </w:r>
            <w:r/>
          </w:p>
        </w:tc>
      </w:tr>
      <w:tr>
        <w:trPr>
          <w:jc w:val="center"/>
          <w:trHeight w:val="1852"/>
        </w:trPr>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环境标志产品</w:t>
            </w:r>
            <w:r>
              <w:rPr>
                <w:rFonts w:hint="eastAsia" w:ascii="宋体" w:hAnsi="宋体" w:cs="宋体"/>
                <w:i w:val="0"/>
                <w:iCs w:val="0"/>
                <w:color w:val="auto"/>
                <w:sz w:val="24"/>
                <w:szCs w:val="24"/>
                <w:highlight w:val="none"/>
                <w:u w:val="none"/>
                <w:lang w:val="en-US" w:eastAsia="zh-CN" w:bidi="ar"/>
              </w:rPr>
              <w:t xml:space="preserve">（1分）</w:t>
            </w:r>
            <w:r/>
          </w:p>
        </w:tc>
        <w:tc>
          <w:tcPr>
            <w:shd w:val="clear" w:color="auto" w:fill="auto"/>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spacing w:line="360" w:lineRule="auto"/>
              <w:widowControl/>
              <w:rPr>
                <w:rFonts w:hint="eastAsia" w:ascii="宋体" w:hAnsi="宋体" w:eastAsia="宋体" w:cs="宋体"/>
                <w:bCs w:val="0"/>
                <w:color w:val="auto"/>
                <w:sz w:val="24"/>
                <w:szCs w:val="24"/>
                <w:highlight w:val="none"/>
                <w:u w:val="none"/>
                <w:shd w:val="clear" w:color="auto" w:fill="auto"/>
                <w:lang w:bidi="ar"/>
              </w:rPr>
            </w:pPr>
            <w:r>
              <w:rPr>
                <w:rFonts w:hint="eastAsia" w:ascii="宋体" w:hAnsi="宋体" w:eastAsia="宋体" w:cs="宋体"/>
                <w:bCs w:val="0"/>
                <w:color w:val="auto"/>
                <w:sz w:val="24"/>
                <w:szCs w:val="24"/>
                <w:highlight w:val="none"/>
                <w:u w:val="none"/>
                <w:shd w:val="clear" w:color="auto" w:fill="auto"/>
                <w:lang w:bidi="ar"/>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u w:val="none"/>
                <w:shd w:val="clear" w:color="auto" w:fill="auto"/>
                <w:lang w:bidi="ar"/>
              </w:rPr>
              <w:t xml:space="preserve">特别说明：本项目采购产品未被财政部、生态环境部等列入 “环境标志产品品目清单”强制采购范围。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1分</w:t>
            </w:r>
            <w:r/>
          </w:p>
        </w:tc>
      </w:tr>
    </w:tbl>
    <w:p>
      <w:pPr>
        <w:ind w:right="-1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right="-1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54"/>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本项目对符合规定的小型和微型企业报价给予20%的扣除价格，用扣除后的价格参与评审。</w:t>
      </w:r>
      <w:r/>
    </w:p>
    <w:p>
      <w:pPr>
        <w:pStyle w:val="854"/>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供应商需按照采购文件的要求提供相应的《中小微企业声明函》。</w:t>
      </w:r>
      <w:r/>
    </w:p>
    <w:p>
      <w:pPr>
        <w:pStyle w:val="854"/>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企业标准请参照《关于印发中小企业划型标准规定的通知》（工信部联企业〔2011〕300号）文件规定自行填写。</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（1）本项目对残疾人福利性单位视同小型、微型企业，给予20%的价格扣除。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（2）残疾人福利单位需按照采购文件的要求提供《残疾人福利性单位声明函》。</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（3）残疾人福利单位标准请参照《关于促进残疾人就业政府采购政策的通知》（财库〔2017〕141号）。</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（1）本项目对监狱和戒毒企业（简称监狱企业）视同小型、微型企业，给予20%的价格扣除。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（3）监狱企业标准请参照《关于政府采购支持监狱企业发展有关问题的通知》（财库〔2014〕68号）。</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.强化政府采购异常低价审查</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采购人应在采购文件中明确评审委员会启动异常低价投标（响应）审查的情形和具体要求，包括：</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（一）评审过程中出现下列情形之一的，评审委员会应当启动异常低价投标（响应）审查程序：</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1.投标（响应）报价低于采购项目预算50%的，即投标（响应）报价 &lt; 采购项目预算×50%；</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2.投标（响应）报价低于采购项目最高限价45%的，即投标（响应）报价 &lt; 采购项目最高限价×45%；</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3.评审委员会认定的供应商报价过低、有可能影响产品质量或者不能诚信履约的其他情形。</w:t>
      </w:r>
      <w:r/>
    </w:p>
    <w:p>
      <w:pPr>
        <w:pStyle w:val="85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hint="eastAsia" w:ascii="宋体" w:hAnsi="宋体" w:cs="宋体"/>
          <w:color w:val="auto"/>
          <w:sz w:val="20"/>
          <w:highlight w:val="none"/>
        </w:rPr>
      </w:pPr>
      <w:r>
        <w:rPr>
          <w:rFonts w:hint="eastAsia" w:ascii="宋体" w:hAnsi="宋体" w:cs="宋体"/>
          <w:color w:val="auto"/>
          <w:sz w:val="20"/>
          <w:highlight w:val="none"/>
        </w:rPr>
      </w:r>
      <w:r/>
    </w:p>
    <w:p>
      <w:pPr>
        <w:numPr>
          <w:ilvl w:val="0"/>
          <w:numId w:val="0"/>
        </w:numPr>
        <w:jc w:val="center"/>
        <w:spacing w:line="360" w:lineRule="auto"/>
        <w:rPr>
          <w:rFonts w:hint="eastAsia" w:ascii="宋体" w:hAnsi="宋体" w:eastAsia="宋体" w:cs="宋体"/>
          <w:b/>
          <w:bCs/>
          <w:color w:val="auto"/>
          <w:spacing w:val="-1"/>
          <w:sz w:val="24"/>
          <w:szCs w:val="24"/>
        </w:rPr>
        <w:outlineLvl w:val="0"/>
      </w:pPr>
      <w:r/>
      <w:bookmarkStart w:id="62" w:name="EBae7807b0bcbc478ea1f502c8f1955356"/>
      <w:r/>
      <w:bookmarkEnd w:id="62"/>
      <w:r/>
      <w:bookmarkStart w:id="63" w:name="_Toc514054481"/>
      <w:r>
        <w:rPr>
          <w:rFonts w:hint="eastAsia"/>
          <w:b/>
          <w:color w:val="auto"/>
          <w:sz w:val="44"/>
          <w:szCs w:val="44"/>
          <w:highlight w:val="none"/>
        </w:rPr>
        <w:br w:type="page" w:clear="all"/>
      </w:r>
      <w:bookmarkStart w:id="64" w:name="_Toc1505"/>
      <w:r>
        <w:rPr>
          <w:rFonts w:hint="eastAsia"/>
          <w:b/>
          <w:color w:val="auto"/>
          <w:sz w:val="44"/>
          <w:szCs w:val="44"/>
          <w:highlight w:val="none"/>
        </w:rPr>
        <w:t xml:space="preserve">第</w:t>
      </w:r>
      <w:r>
        <w:rPr>
          <w:rFonts w:hint="eastAsia"/>
          <w:b/>
          <w:color w:val="auto"/>
          <w:sz w:val="44"/>
          <w:szCs w:val="44"/>
          <w:highlight w:val="none"/>
          <w:lang w:val="en-US" w:eastAsia="zh-CN"/>
        </w:rPr>
        <w:t xml:space="preserve">四</w:t>
      </w:r>
      <w:r>
        <w:rPr>
          <w:rFonts w:hint="eastAsia"/>
          <w:b/>
          <w:color w:val="auto"/>
          <w:sz w:val="44"/>
          <w:szCs w:val="44"/>
          <w:highlight w:val="none"/>
        </w:rPr>
        <w:t xml:space="preserve">部分</w:t>
      </w:r>
      <w:r>
        <w:rPr>
          <w:b/>
          <w:color w:val="auto"/>
          <w:sz w:val="44"/>
          <w:szCs w:val="44"/>
          <w:highlight w:val="none"/>
        </w:rPr>
        <w:t xml:space="preserve"> </w:t>
      </w:r>
      <w:r>
        <w:rPr>
          <w:rFonts w:hint="eastAsia"/>
          <w:b/>
          <w:color w:val="auto"/>
          <w:sz w:val="44"/>
          <w:szCs w:val="44"/>
          <w:highlight w:val="none"/>
        </w:rPr>
        <w:t xml:space="preserve">采购需求</w:t>
      </w:r>
      <w:bookmarkEnd w:id="63"/>
      <w:r/>
      <w:bookmarkEnd w:id="64"/>
      <w:r/>
      <w:r/>
    </w:p>
    <w:p>
      <w:pPr>
        <w:pStyle w:val="675"/>
        <w:spacing w:before="103" w:line="360" w:lineRule="auto"/>
        <w:rPr>
          <w:rFonts w:hint="eastAsia" w:ascii="宋体" w:hAnsi="宋体" w:eastAsia="宋体" w:cs="宋体"/>
          <w:b/>
          <w:bCs/>
          <w:color w:val="auto"/>
          <w:sz w:val="28"/>
          <w:szCs w:val="28"/>
        </w:rPr>
      </w:pPr>
      <w:r>
        <w:rPr>
          <w:rFonts w:hint="eastAsia" w:ascii="宋体" w:hAnsi="宋体" w:eastAsia="宋体" w:cs="宋体"/>
          <w:b/>
          <w:bCs/>
          <w:color w:val="auto"/>
          <w:spacing w:val="-1"/>
          <w:sz w:val="28"/>
          <w:szCs w:val="28"/>
        </w:rPr>
        <w:t xml:space="preserve">一、</w:t>
      </w:r>
      <w:r>
        <w:rPr>
          <w:rFonts w:hint="eastAsia" w:ascii="宋体" w:hAnsi="宋体" w:eastAsia="宋体" w:cs="宋体"/>
          <w:b/>
          <w:bCs/>
          <w:color w:val="auto"/>
          <w:spacing w:val="-1"/>
          <w:sz w:val="28"/>
          <w:szCs w:val="28"/>
          <w:lang w:val="en-US" w:eastAsia="zh-CN"/>
        </w:rPr>
        <w:t xml:space="preserve">需求一览表</w:t>
      </w:r>
      <w:r/>
    </w:p>
    <w:tbl>
      <w:tblPr>
        <w:tblStyle w:val="671"/>
        <w:tblW w:w="91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6"/>
        <w:gridCol w:w="2748"/>
        <w:gridCol w:w="1068"/>
        <w:gridCol w:w="2612"/>
        <w:gridCol w:w="1980"/>
      </w:tblGrid>
      <w:tr>
        <w:trPr>
          <w:jc w:val="center"/>
          <w:trHeight w:val="590"/>
        </w:trPr>
        <w:tc>
          <w:tcPr>
            <w:shd w:val="clear" w:color="auto" w:fill="auto"/>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bookmarkStart w:id="65" w:name="_Toc514054482"/>
            <w:r/>
            <w:bookmarkStart w:id="66" w:name="_Toc9306"/>
            <w:r>
              <w:rPr>
                <w:rFonts w:hint="eastAsia" w:ascii="宋体" w:hAnsi="宋体" w:eastAsia="宋体" w:cs="宋体"/>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1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交货期</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交货地点</w:t>
            </w:r>
            <w:r/>
          </w:p>
        </w:tc>
      </w:tr>
      <w:tr>
        <w:trPr>
          <w:jc w:val="center"/>
          <w:trHeight w:val="515"/>
        </w:trPr>
        <w:tc>
          <w:tcPr>
            <w:shd w:val="clear" w:color="auto" w:fill="auto"/>
            <w:tcBorders>
              <w:top w:val="single" w:color="000000" w:sz="4" w:space="0"/>
              <w:left w:val="single" w:color="000000" w:sz="4" w:space="0"/>
              <w:right w:val="single" w:color="000000" w:sz="4" w:space="0"/>
            </w:tcBorders>
            <w:tcW w:w="776" w:type="dxa"/>
            <w:vAlign w:val="center"/>
            <w:vMerge w:val="restart"/>
            <w:textDirection w:val="lrTb"/>
            <w:noWrap/>
          </w:tcPr>
          <w:p>
            <w:pPr>
              <w:jc w:val="center"/>
              <w:keepLines w:val="0"/>
              <w:keepNext w:val="0"/>
              <w:spacing w:line="36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rPr>
                <w:rFonts w:hint="default" w:ascii="宋体" w:hAnsi="宋体" w:eastAsia="宋体" w:cs="宋体"/>
                <w:i w:val="0"/>
                <w:iCs w:val="0"/>
                <w:color w:val="auto"/>
                <w:sz w:val="24"/>
                <w:szCs w:val="24"/>
                <w:u w:val="none"/>
                <w:lang w:val="en-US" w:eastAsia="zh-CN" w:bidi="ar"/>
              </w:rPr>
            </w:pPr>
            <w:r>
              <w:rPr>
                <w:rFonts w:hint="eastAsia"/>
                <w:color w:val="auto"/>
                <w:lang w:val="en-US" w:eastAsia="zh-CN"/>
              </w:rPr>
              <w:t xml:space="preserve">激光和强脉冲光工作站</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rPr>
                <w:rFonts w:hint="default" w:ascii="宋体" w:hAnsi="宋体" w:eastAsia="宋体" w:cs="宋体"/>
                <w:i w:val="0"/>
                <w:iCs w:val="0"/>
                <w:color w:val="auto"/>
                <w:sz w:val="24"/>
                <w:szCs w:val="24"/>
                <w:u w:val="none"/>
                <w:lang w:val="en-US" w:eastAsia="zh-CN" w:bidi="ar"/>
              </w:rPr>
            </w:pPr>
            <w:r>
              <w:rPr>
                <w:rFonts w:hint="eastAsia"/>
                <w:color w:val="auto"/>
                <w:vertAlign w:val="baseline"/>
                <w:lang w:val="en-US" w:eastAsia="zh-CN"/>
              </w:rPr>
              <w:t xml:space="preserve">1台</w:t>
            </w:r>
            <w:r/>
          </w:p>
        </w:tc>
        <w:tc>
          <w:tcPr>
            <w:shd w:val="clear" w:color="auto" w:fill="auto"/>
            <w:tcBorders>
              <w:top w:val="single" w:color="000000" w:sz="4" w:space="0"/>
              <w:left w:val="single" w:color="000000" w:sz="4" w:space="0"/>
              <w:right w:val="single" w:color="000000" w:sz="4" w:space="0"/>
            </w:tcBorders>
            <w:tcW w:w="2612" w:type="dxa"/>
            <w:vAlign w:val="center"/>
            <w:vMerge w:val="restart"/>
            <w:textDirection w:val="lrTb"/>
            <w:noWrap/>
          </w:tcPr>
          <w:p>
            <w:pPr>
              <w:jc w:val="center"/>
              <w:spacing w:line="36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t xml:space="preserve">合同</w:t>
            </w:r>
            <w:r>
              <w:rPr>
                <w:rFonts w:hint="eastAsia" w:ascii="宋体" w:hAnsi="宋体" w:eastAsia="宋体" w:cs="宋体"/>
                <w:i w:val="0"/>
                <w:iCs w:val="0"/>
                <w:color w:val="auto"/>
                <w:sz w:val="24"/>
                <w:szCs w:val="24"/>
                <w:highlight w:val="none"/>
                <w:u w:val="none"/>
              </w:rPr>
              <w:t xml:space="preserve">签订后</w:t>
            </w:r>
            <w:r>
              <w:rPr>
                <w:rFonts w:hint="eastAsia" w:ascii="宋体" w:hAnsi="宋体" w:eastAsia="宋体" w:cs="宋体"/>
                <w:i w:val="0"/>
                <w:iCs w:val="0"/>
                <w:color w:val="auto"/>
                <w:sz w:val="24"/>
                <w:szCs w:val="24"/>
                <w:highlight w:val="none"/>
                <w:u w:val="none"/>
                <w:lang w:val="en-US" w:eastAsia="zh-CN"/>
              </w:rPr>
              <w:t xml:space="preserve">60日</w:t>
            </w:r>
            <w:r>
              <w:rPr>
                <w:rFonts w:hint="eastAsia" w:ascii="宋体" w:hAnsi="宋体" w:eastAsia="宋体" w:cs="宋体"/>
                <w:i w:val="0"/>
                <w:iCs w:val="0"/>
                <w:color w:val="auto"/>
                <w:sz w:val="24"/>
                <w:szCs w:val="24"/>
                <w:highlight w:val="none"/>
                <w:u w:val="none"/>
              </w:rPr>
              <w:t xml:space="preserve">内</w:t>
            </w:r>
            <w:r/>
          </w:p>
        </w:tc>
        <w:tc>
          <w:tcPr>
            <w:shd w:val="clear" w:color="auto" w:fill="auto"/>
            <w:tcBorders>
              <w:top w:val="single" w:color="000000" w:sz="4" w:space="0"/>
              <w:left w:val="single" w:color="000000" w:sz="4" w:space="0"/>
              <w:right w:val="single" w:color="000000" w:sz="4" w:space="0"/>
            </w:tcBorders>
            <w:tcW w:w="1980" w:type="dxa"/>
            <w:vAlign w:val="center"/>
            <w:vMerge w:val="restart"/>
            <w:textDirection w:val="lrTb"/>
            <w:noWrap/>
          </w:tcPr>
          <w:p>
            <w:pPr>
              <w:jc w:val="center"/>
              <w:spacing w:line="36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rPr>
              <w:t xml:space="preserve">采购人</w:t>
            </w:r>
            <w:r>
              <w:rPr>
                <w:rFonts w:hint="eastAsia" w:ascii="宋体" w:hAnsi="宋体" w:eastAsia="宋体" w:cs="宋体"/>
                <w:i w:val="0"/>
                <w:iCs w:val="0"/>
                <w:color w:val="auto"/>
                <w:sz w:val="24"/>
                <w:szCs w:val="24"/>
                <w:u w:val="none"/>
              </w:rPr>
              <w:t xml:space="preserve">指定地点</w:t>
            </w:r>
            <w:r/>
          </w:p>
        </w:tc>
      </w:tr>
      <w:tr>
        <w:trPr>
          <w:jc w:val="center"/>
          <w:trHeight w:val="547"/>
        </w:trPr>
        <w:tc>
          <w:tcPr>
            <w:shd w:val="clear" w:color="auto" w:fill="auto"/>
            <w:tcBorders>
              <w:left w:val="single" w:color="000000" w:sz="4" w:space="0"/>
              <w:bottom w:val="single" w:color="000000" w:sz="4" w:space="0"/>
              <w:right w:val="single" w:color="000000" w:sz="4" w:space="0"/>
            </w:tcBorders>
            <w:tcW w:w="776" w:type="dxa"/>
            <w:vAlign w:val="center"/>
            <w:vMerge w:val="continue"/>
            <w:textDirection w:val="lrTb"/>
            <w:noWrap/>
          </w:tcPr>
          <w:p>
            <w:pPr>
              <w:jc w:val="center"/>
              <w:keepLines w:val="0"/>
              <w:keepNext w:val="0"/>
              <w:spacing w:line="360" w:lineRule="auto"/>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rPr>
                <w:rFonts w:hint="default" w:ascii="宋体" w:hAnsi="宋体" w:eastAsia="宋体" w:cs="宋体"/>
                <w:i w:val="0"/>
                <w:iCs w:val="0"/>
                <w:color w:val="auto"/>
                <w:sz w:val="24"/>
                <w:szCs w:val="24"/>
                <w:u w:val="none"/>
                <w:lang w:val="en-US" w:eastAsia="zh-CN" w:bidi="ar"/>
              </w:rPr>
            </w:pPr>
            <w:r>
              <w:rPr>
                <w:rFonts w:hint="eastAsia"/>
                <w:color w:val="auto"/>
                <w:vertAlign w:val="baseline"/>
                <w:lang w:val="en-US" w:eastAsia="zh-CN"/>
              </w:rPr>
              <w:t xml:space="preserve">皮秒激光治疗仪</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rPr>
                <w:rFonts w:hint="eastAsia" w:ascii="宋体" w:hAnsi="宋体" w:cs="宋体"/>
                <w:i w:val="0"/>
                <w:iCs w:val="0"/>
                <w:color w:val="auto"/>
                <w:sz w:val="24"/>
                <w:szCs w:val="24"/>
                <w:u w:val="none"/>
                <w:lang w:val="en-US" w:eastAsia="zh-CN" w:bidi="ar"/>
              </w:rPr>
            </w:pPr>
            <w:r>
              <w:rPr>
                <w:rFonts w:hint="eastAsia"/>
                <w:color w:val="auto"/>
                <w:vertAlign w:val="baseline"/>
                <w:lang w:val="en-US" w:eastAsia="zh-CN"/>
              </w:rPr>
              <w:t xml:space="preserve">1台</w:t>
            </w:r>
            <w:r/>
          </w:p>
        </w:tc>
        <w:tc>
          <w:tcPr>
            <w:shd w:val="clear" w:color="auto" w:fill="auto"/>
            <w:tcBorders>
              <w:left w:val="single" w:color="000000" w:sz="4" w:space="0"/>
              <w:bottom w:val="single" w:color="000000" w:sz="4" w:space="0"/>
              <w:right w:val="single" w:color="000000" w:sz="4" w:space="0"/>
            </w:tcBorders>
            <w:tcW w:w="2612" w:type="dxa"/>
            <w:vAlign w:val="center"/>
            <w:vMerge w:val="continue"/>
            <w:textDirection w:val="lrTb"/>
            <w:noWrap/>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shd w:val="clear" w:color="auto" w:fill="auto"/>
            <w:tcBorders>
              <w:left w:val="single" w:color="000000" w:sz="4" w:space="0"/>
              <w:bottom w:val="single" w:color="000000" w:sz="4" w:space="0"/>
              <w:right w:val="single" w:color="000000" w:sz="4" w:space="0"/>
            </w:tcBorders>
            <w:tcW w:w="1980" w:type="dxa"/>
            <w:vAlign w:val="center"/>
            <w:vMerge w:val="continue"/>
            <w:textDirection w:val="lrTb"/>
            <w:noWrap/>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r>
    </w:tbl>
    <w:p>
      <w:pPr>
        <w:pStyle w:val="675"/>
        <w:spacing w:before="183" w:line="360" w:lineRule="auto"/>
        <w:rPr>
          <w:rFonts w:hint="eastAsia" w:ascii="宋体" w:hAnsi="宋体" w:eastAsia="宋体" w:cs="宋体"/>
          <w:b/>
          <w:bCs/>
          <w:color w:val="auto"/>
          <w:spacing w:val="-2"/>
          <w:sz w:val="28"/>
          <w:szCs w:val="28"/>
          <w:highlight w:val="none"/>
        </w:rPr>
      </w:pPr>
      <w:r>
        <w:rPr>
          <w:rFonts w:hint="eastAsia" w:ascii="宋体" w:hAnsi="宋体" w:eastAsia="宋体" w:cs="宋体"/>
          <w:b/>
          <w:bCs/>
          <w:color w:val="auto"/>
          <w:spacing w:val="-2"/>
          <w:sz w:val="28"/>
          <w:szCs w:val="28"/>
          <w:highlight w:val="none"/>
        </w:rPr>
      </w:r>
      <w:r/>
    </w:p>
    <w:p>
      <w:pPr>
        <w:pStyle w:val="675"/>
        <w:spacing w:before="183" w:line="360" w:lineRule="auto"/>
        <w:rPr>
          <w:rFonts w:hint="eastAsia" w:ascii="宋体" w:hAnsi="宋体"/>
          <w:b/>
          <w:color w:val="auto"/>
          <w:sz w:val="32"/>
          <w:szCs w:val="32"/>
          <w:highlight w:val="none"/>
        </w:rPr>
      </w:pPr>
      <w:r>
        <w:rPr>
          <w:rFonts w:hint="eastAsia" w:ascii="宋体" w:hAnsi="宋体" w:eastAsia="宋体" w:cs="宋体"/>
          <w:b/>
          <w:bCs/>
          <w:color w:val="auto"/>
          <w:spacing w:val="-2"/>
          <w:sz w:val="28"/>
          <w:szCs w:val="28"/>
          <w:highlight w:val="none"/>
        </w:rPr>
        <w:t xml:space="preserve">二、</w:t>
      </w:r>
      <w:r>
        <w:rPr>
          <w:rFonts w:hint="eastAsia" w:ascii="宋体" w:hAnsi="宋体" w:eastAsia="宋体" w:cs="宋体"/>
          <w:b/>
          <w:bCs/>
          <w:color w:val="auto"/>
          <w:spacing w:val="-2"/>
          <w:sz w:val="28"/>
          <w:szCs w:val="28"/>
          <w:highlight w:val="none"/>
          <w:lang w:val="en-US" w:eastAsia="zh-CN"/>
        </w:rPr>
        <w:t xml:space="preserve">技术参数要求</w:t>
      </w:r>
      <w:r>
        <w:rPr>
          <w:rFonts w:hint="eastAsia" w:ascii="宋体" w:hAnsi="宋体" w:eastAsia="宋体" w:cs="宋体"/>
          <w:b/>
          <w:bCs/>
          <w:color w:val="auto"/>
          <w:spacing w:val="-2"/>
          <w:sz w:val="28"/>
          <w:szCs w:val="28"/>
          <w:highlight w:val="none"/>
        </w:rPr>
        <w:t xml:space="preserve">：</w:t>
      </w:r>
      <w:r/>
    </w:p>
    <w:p>
      <w:pPr>
        <w:keepLines w:val="0"/>
        <w:keepNext w:val="0"/>
        <w:pageBreakBefore w:val="0"/>
        <w:spacing w:line="500" w:lineRule="exact"/>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产品</w:t>
      </w:r>
      <w:r>
        <w:rPr>
          <w:rFonts w:hint="eastAsia" w:ascii="宋体" w:hAnsi="宋体" w:eastAsia="宋体" w:cs="宋体"/>
          <w:b/>
          <w:bCs/>
          <w:color w:val="auto"/>
          <w:sz w:val="24"/>
          <w:szCs w:val="24"/>
          <w:lang w:val="en-US" w:eastAsia="zh-CN"/>
        </w:rPr>
        <w:t xml:space="preserve">一</w:t>
      </w:r>
      <w:r>
        <w:rPr>
          <w:rFonts w:hint="eastAsia" w:ascii="宋体" w:hAnsi="宋体" w:eastAsia="宋体" w:cs="宋体"/>
          <w:b/>
          <w:bCs/>
          <w:color w:val="auto"/>
          <w:sz w:val="24"/>
          <w:szCs w:val="24"/>
          <w:lang w:val="en-US" w:eastAsia="zh-CN"/>
        </w:rPr>
        <w:t xml:space="preserve">：激光和强脉冲光工作站（激光与强脉冲光系统）</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cs="宋体"/>
          <w:i/>
          <w:iCs/>
          <w:color w:val="auto"/>
          <w:sz w:val="24"/>
          <w:szCs w:val="24"/>
          <w:highlight w:val="none"/>
          <w:u w:val="single"/>
          <w:lang w:val="en-US" w:eastAsia="zh-CN"/>
        </w:rPr>
        <w:t xml:space="preserve">注册</w:t>
      </w:r>
      <w:r>
        <w:rPr>
          <w:rFonts w:hint="eastAsia" w:ascii="宋体" w:hAnsi="宋体" w:eastAsia="宋体" w:cs="宋体"/>
          <w:i/>
          <w:iCs/>
          <w:color w:val="auto"/>
          <w:sz w:val="24"/>
          <w:szCs w:val="24"/>
          <w:highlight w:val="none"/>
          <w:u w:val="single"/>
          <w:lang w:val="en-US" w:eastAsia="zh-CN"/>
        </w:rPr>
        <w:t xml:space="preserve">适用范围/预期用途：需</w:t>
      </w:r>
      <w:r>
        <w:rPr>
          <w:rFonts w:hint="eastAsia" w:ascii="宋体" w:hAnsi="宋体" w:cs="宋体"/>
          <w:i/>
          <w:iCs/>
          <w:color w:val="auto"/>
          <w:sz w:val="24"/>
          <w:szCs w:val="24"/>
          <w:highlight w:val="none"/>
          <w:u w:val="single"/>
          <w:lang w:val="en-US" w:eastAsia="zh-CN"/>
        </w:rPr>
        <w:t xml:space="preserve">至少包括</w:t>
      </w:r>
      <w:r>
        <w:rPr>
          <w:rFonts w:hint="eastAsia" w:ascii="宋体" w:hAnsi="宋体" w:eastAsia="宋体" w:cs="宋体"/>
          <w:i/>
          <w:iCs/>
          <w:color w:val="auto"/>
          <w:sz w:val="24"/>
          <w:szCs w:val="24"/>
          <w:highlight w:val="none"/>
          <w:u w:val="single"/>
          <w:lang w:val="en-US" w:eastAsia="zh-CN"/>
        </w:rPr>
        <w:t xml:space="preserve">色素治疗、血管治疗</w:t>
      </w:r>
      <w:r>
        <w:rPr>
          <w:rFonts w:hint="eastAsia" w:ascii="宋体" w:hAnsi="宋体" w:cs="宋体"/>
          <w:i/>
          <w:iCs/>
          <w:color w:val="auto"/>
          <w:sz w:val="24"/>
          <w:szCs w:val="24"/>
          <w:highlight w:val="none"/>
          <w:u w:val="single"/>
          <w:lang w:val="en-US" w:eastAsia="zh-CN"/>
        </w:rPr>
        <w:t xml:space="preserve">、瘢痕/疤痕治疗（需</w:t>
      </w:r>
      <w:r>
        <w:rPr>
          <w:rFonts w:hint="eastAsia" w:ascii="宋体" w:hAnsi="宋体" w:eastAsia="宋体" w:cs="宋体"/>
          <w:i/>
          <w:iCs/>
          <w:color w:val="auto"/>
          <w:sz w:val="24"/>
          <w:szCs w:val="24"/>
          <w:highlight w:val="none"/>
          <w:u w:val="single"/>
          <w:lang w:val="en-US" w:eastAsia="zh-CN"/>
        </w:rPr>
        <w:t xml:space="preserve">提供医疗器械注册证</w:t>
      </w:r>
      <w:r>
        <w:rPr>
          <w:rFonts w:hint="eastAsia" w:ascii="宋体" w:hAnsi="宋体" w:cs="宋体"/>
          <w:i/>
          <w:iCs/>
          <w:color w:val="auto"/>
          <w:sz w:val="24"/>
          <w:szCs w:val="24"/>
          <w:highlight w:val="none"/>
          <w:u w:val="single"/>
          <w:lang w:val="en-US" w:eastAsia="zh-CN"/>
        </w:rPr>
        <w:t xml:space="preserve">或产品说明书</w:t>
      </w:r>
      <w:r>
        <w:rPr>
          <w:rFonts w:hint="eastAsia" w:ascii="宋体" w:hAnsi="宋体" w:eastAsia="宋体" w:cs="宋体"/>
          <w:i/>
          <w:iCs/>
          <w:color w:val="auto"/>
          <w:sz w:val="24"/>
          <w:szCs w:val="24"/>
          <w:highlight w:val="none"/>
          <w:u w:val="single"/>
          <w:lang w:val="en-US" w:eastAsia="zh-CN"/>
        </w:rPr>
        <w:t xml:space="preserve">佐证</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val="en-US" w:eastAsia="zh-CN"/>
        </w:rPr>
        <w:t xml:space="preserve">。</w:t>
      </w:r>
      <w:r/>
    </w:p>
    <w:p>
      <w:pPr>
        <w:ind w:firstLine="240"/>
        <w:keepLines w:val="0"/>
        <w:keepNext w:val="0"/>
        <w:pageBreakBefore w:val="0"/>
        <w:spacing w:line="500" w:lineRule="exact"/>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2、</w:t>
      </w:r>
      <w:r>
        <w:rPr>
          <w:rFonts w:hint="eastAsia" w:ascii="宋体" w:hAnsi="宋体" w:eastAsia="宋体" w:cs="宋体"/>
          <w:i w:val="0"/>
          <w:iCs w:val="0"/>
          <w:color w:val="auto"/>
          <w:sz w:val="24"/>
          <w:szCs w:val="24"/>
          <w:highlight w:val="none"/>
          <w:u w:val="none"/>
          <w:lang w:val="en-US" w:eastAsia="zh-Hans"/>
        </w:rPr>
        <w:t xml:space="preserve">治疗</w:t>
      </w:r>
      <w:r>
        <w:rPr>
          <w:rFonts w:hint="eastAsia" w:ascii="宋体" w:hAnsi="宋体" w:eastAsia="宋体" w:cs="宋体"/>
          <w:i w:val="0"/>
          <w:iCs w:val="0"/>
          <w:color w:val="auto"/>
          <w:sz w:val="24"/>
          <w:szCs w:val="24"/>
          <w:highlight w:val="none"/>
          <w:u w:val="none"/>
          <w:lang w:val="en-US" w:eastAsia="zh-CN"/>
        </w:rPr>
        <w:t xml:space="preserve">手柄：</w:t>
      </w:r>
      <w:r>
        <w:rPr>
          <w:rFonts w:hint="eastAsia" w:ascii="宋体" w:hAnsi="宋体" w:eastAsia="宋体" w:cs="宋体"/>
          <w:i w:val="0"/>
          <w:iCs w:val="0"/>
          <w:color w:val="auto"/>
          <w:sz w:val="24"/>
          <w:szCs w:val="24"/>
          <w:highlight w:val="none"/>
          <w:u w:val="none"/>
          <w:lang w:val="en-US" w:eastAsia="zh-Hans"/>
        </w:rPr>
        <w:t xml:space="preserve">配备</w:t>
      </w:r>
      <w:r>
        <w:rPr>
          <w:rFonts w:hint="eastAsia" w:ascii="宋体" w:hAnsi="宋体" w:eastAsia="宋体" w:cs="宋体"/>
          <w:i w:val="0"/>
          <w:iCs w:val="0"/>
          <w:color w:val="auto"/>
          <w:sz w:val="24"/>
          <w:szCs w:val="24"/>
          <w:highlight w:val="none"/>
          <w:u w:val="none"/>
          <w:lang w:val="en-US" w:eastAsia="zh-CN"/>
        </w:rPr>
        <w:t xml:space="preserve">≥3</w:t>
      </w:r>
      <w:r>
        <w:rPr>
          <w:rFonts w:hint="eastAsia" w:ascii="宋体" w:hAnsi="宋体" w:eastAsia="宋体" w:cs="宋体"/>
          <w:i w:val="0"/>
          <w:iCs w:val="0"/>
          <w:color w:val="auto"/>
          <w:sz w:val="24"/>
          <w:szCs w:val="24"/>
          <w:highlight w:val="none"/>
          <w:u w:val="none"/>
          <w:lang w:val="en-US" w:eastAsia="zh-Hans"/>
        </w:rPr>
        <w:t xml:space="preserve">个治疗手柄</w:t>
      </w:r>
      <w:r>
        <w:rPr>
          <w:rFonts w:hint="eastAsia" w:ascii="宋体" w:hAnsi="宋体" w:eastAsia="宋体" w:cs="宋体"/>
          <w:i w:val="0"/>
          <w:iCs w:val="0"/>
          <w:color w:val="auto"/>
          <w:sz w:val="24"/>
          <w:szCs w:val="24"/>
          <w:highlight w:val="none"/>
          <w:u w:val="none"/>
          <w:lang w:val="en-US"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3、激光控制：激光发射采用脚踏</w:t>
      </w:r>
      <w:r>
        <w:rPr>
          <w:rFonts w:hint="eastAsia" w:ascii="宋体" w:hAnsi="宋体" w:cs="宋体"/>
          <w:color w:val="auto"/>
          <w:sz w:val="24"/>
          <w:szCs w:val="24"/>
          <w:highlight w:val="none"/>
          <w:lang w:val="en-US" w:eastAsia="zh-CN"/>
        </w:rPr>
        <w:t xml:space="preserve">或治疗手柄</w:t>
      </w:r>
      <w:r>
        <w:rPr>
          <w:rFonts w:hint="eastAsia" w:ascii="宋体" w:hAnsi="宋体" w:eastAsia="宋体" w:cs="宋体"/>
          <w:color w:val="auto"/>
          <w:sz w:val="24"/>
          <w:szCs w:val="24"/>
          <w:highlight w:val="none"/>
          <w:lang w:val="en-US" w:eastAsia="zh-CN"/>
        </w:rPr>
        <w:t xml:space="preserve">控制。</w:t>
      </w:r>
      <w:r/>
    </w:p>
    <w:p>
      <w:pPr>
        <w:ind w:firstLine="480"/>
        <w:keepLines w:val="0"/>
        <w:keepNext w:val="0"/>
        <w:pageBreakBefore w:val="0"/>
        <w:spacing w:line="500" w:lineRule="exac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4、</w:t>
      </w:r>
      <w:r>
        <w:rPr>
          <w:rFonts w:hint="eastAsia" w:ascii="宋体" w:hAnsi="宋体" w:eastAsia="宋体" w:cs="宋体"/>
          <w:i/>
          <w:iCs/>
          <w:color w:val="auto"/>
          <w:sz w:val="24"/>
          <w:szCs w:val="24"/>
          <w:highlight w:val="none"/>
          <w:u w:val="single"/>
          <w:lang w:val="en-US" w:eastAsia="zh-Hans"/>
        </w:rPr>
        <w:t xml:space="preserve">强脉冲光</w:t>
      </w:r>
      <w:r>
        <w:rPr>
          <w:rFonts w:hint="eastAsia" w:ascii="宋体" w:hAnsi="宋体" w:eastAsia="宋体" w:cs="宋体"/>
          <w:i/>
          <w:iCs/>
          <w:color w:val="auto"/>
          <w:sz w:val="24"/>
          <w:szCs w:val="24"/>
          <w:highlight w:val="none"/>
          <w:u w:val="single"/>
          <w:lang w:val="en-US" w:eastAsia="zh-CN"/>
        </w:rPr>
        <w:t xml:space="preserve">功能转换：整体式治疗手具（滤波片内置，非插片式），以降低因滤波片污染造成的故障，通过更换手具的形式实现临床功能的转换。（提供医疗器械注册证明文件、</w:t>
      </w:r>
      <w:r>
        <w:rPr>
          <w:rFonts w:hint="eastAsia" w:ascii="宋体" w:hAnsi="宋体" w:cs="宋体"/>
          <w:i/>
          <w:iCs/>
          <w:color w:val="auto"/>
          <w:sz w:val="24"/>
          <w:szCs w:val="24"/>
          <w:highlight w:val="none"/>
          <w:u w:val="single"/>
          <w:lang w:val="en-US" w:eastAsia="zh-CN"/>
        </w:rPr>
        <w:t xml:space="preserve">或</w:t>
      </w:r>
      <w:r>
        <w:rPr>
          <w:rFonts w:hint="eastAsia" w:ascii="宋体" w:hAnsi="宋体" w:eastAsia="宋体" w:cs="宋体"/>
          <w:i/>
          <w:iCs/>
          <w:color w:val="auto"/>
          <w:sz w:val="24"/>
          <w:szCs w:val="24"/>
          <w:highlight w:val="none"/>
          <w:u w:val="single"/>
          <w:lang w:val="en-US" w:eastAsia="zh-CN"/>
        </w:rPr>
        <w:t xml:space="preserve">说明书、或加盖厂家公章的产品白皮书、或厂家公开发行的宣传彩页等相关证明材料，证明材料能体现满足前述技术要求</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val="en-US"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5、治疗模式：</w:t>
      </w:r>
      <w:r>
        <w:rPr>
          <w:rFonts w:hint="eastAsia" w:ascii="宋体" w:hAnsi="宋体" w:eastAsia="宋体" w:cs="宋体"/>
          <w:color w:val="auto"/>
          <w:sz w:val="24"/>
          <w:szCs w:val="24"/>
          <w:highlight w:val="none"/>
          <w:lang w:val="en-US" w:eastAsia="zh-Hans"/>
        </w:rPr>
        <w:t xml:space="preserve">具备滑动或定点治疗模式</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6、波谱宽度：</w:t>
      </w:r>
      <w:r>
        <w:rPr>
          <w:rFonts w:hint="eastAsia" w:ascii="宋体" w:hAnsi="宋体" w:cs="宋体"/>
          <w:color w:val="auto"/>
          <w:sz w:val="24"/>
          <w:szCs w:val="24"/>
          <w:highlight w:val="none"/>
          <w:lang w:val="en-US" w:eastAsia="zh-CN"/>
        </w:rPr>
        <w:t xml:space="preserve">配备单波谱宽度</w:t>
      </w:r>
      <w:r>
        <w:rPr>
          <w:rFonts w:hint="eastAsia" w:ascii="宋体" w:hAnsi="宋体" w:eastAsia="宋体" w:cs="宋体"/>
          <w:color w:val="auto"/>
          <w:sz w:val="24"/>
          <w:szCs w:val="24"/>
          <w:highlight w:val="none"/>
          <w:lang w:val="en-US" w:eastAsia="zh-Hans"/>
        </w:rPr>
        <w:t xml:space="preserve">≤</w:t>
      </w:r>
      <w:r>
        <w:rPr>
          <w:rFonts w:hint="eastAsia" w:ascii="宋体" w:hAnsi="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lang w:val="en-US" w:eastAsia="zh-Hans"/>
        </w:rPr>
        <w:t xml:space="preserve">0nm</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Hans"/>
        </w:rPr>
        <w:t xml:space="preserve">血管</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Hans"/>
        </w:rPr>
        <w:t xml:space="preserve">色素治疗手具</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7、操作界面：触摸屏≥</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Hans"/>
        </w:rPr>
        <w:t xml:space="preserve">寸</w:t>
      </w:r>
      <w:r>
        <w:rPr>
          <w:rFonts w:hint="eastAsia" w:ascii="宋体" w:hAnsi="宋体" w:eastAsia="宋体" w:cs="宋体"/>
          <w:color w:val="auto"/>
          <w:sz w:val="24"/>
          <w:szCs w:val="24"/>
          <w:highlight w:val="none"/>
          <w:lang w:val="en-US" w:eastAsia="zh-CN"/>
        </w:rPr>
        <w:t xml:space="preserve">。</w:t>
      </w:r>
      <w:r/>
    </w:p>
    <w:p>
      <w:pPr>
        <w:ind w:firstLine="24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脉冲光</w:t>
      </w:r>
      <w:r>
        <w:rPr>
          <w:rFonts w:hint="eastAsia" w:ascii="宋体" w:hAnsi="宋体" w:eastAsia="宋体" w:cs="宋体"/>
          <w:color w:val="auto"/>
          <w:sz w:val="24"/>
          <w:szCs w:val="24"/>
          <w:highlight w:val="none"/>
          <w:lang w:val="en-US" w:eastAsia="zh-CN"/>
        </w:rPr>
        <w:t xml:space="preserve">治疗能量密度：5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15J/cm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lang w:val="en-US" w:eastAsia="zh-CN"/>
        </w:rPr>
        <w:t xml:space="preserve">，数值包含此范围即可。</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脉冲光</w:t>
      </w:r>
      <w:r>
        <w:rPr>
          <w:rFonts w:hint="eastAsia" w:ascii="宋体" w:hAnsi="宋体" w:eastAsia="宋体" w:cs="宋体"/>
          <w:color w:val="auto"/>
          <w:sz w:val="24"/>
          <w:szCs w:val="24"/>
          <w:highlight w:val="none"/>
          <w:lang w:val="en-US" w:eastAsia="zh-CN"/>
        </w:rPr>
        <w:t xml:space="preserve">治疗脉宽：10ms，</w:t>
      </w:r>
      <w:r>
        <w:rPr>
          <w:rFonts w:hint="eastAsia" w:ascii="宋体" w:hAnsi="宋体" w:cs="宋体"/>
          <w:color w:val="auto"/>
          <w:sz w:val="24"/>
          <w:szCs w:val="24"/>
          <w:highlight w:val="none"/>
          <w:lang w:val="en-US" w:eastAsia="zh-CN"/>
        </w:rPr>
        <w:t xml:space="preserve">可调</w:t>
      </w:r>
      <w:r>
        <w:rPr>
          <w:rFonts w:hint="eastAsia" w:ascii="宋体" w:hAnsi="宋体" w:eastAsia="宋体" w:cs="宋体"/>
          <w:color w:val="auto"/>
          <w:sz w:val="24"/>
          <w:szCs w:val="24"/>
          <w:highlight w:val="none"/>
          <w:lang w:val="en-US" w:eastAsia="zh-CN"/>
        </w:rPr>
        <w:t xml:space="preserve">范围包含此数值即可。</w:t>
      </w:r>
      <w:r/>
    </w:p>
    <w:p>
      <w:pPr>
        <w:ind w:firstLine="513"/>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、强脉冲光波长最大值：≤</w:t>
      </w: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lang w:val="en-US" w:eastAsia="zh-CN"/>
        </w:rPr>
        <w:t xml:space="preserve">0nm</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、色素及血管治疗手具光斑：≥2cm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lang w:val="en-US" w:eastAsia="zh-CN"/>
        </w:rPr>
        <w:t xml:space="preserve">，需配备不同规格的遮光板。</w:t>
      </w:r>
      <w:r/>
    </w:p>
    <w:p>
      <w:pPr>
        <w:ind w:firstLine="513"/>
        <w:keepLines w:val="0"/>
        <w:keepNext w:val="0"/>
        <w:pageBreakBefore w:val="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、强脉冲光</w:t>
      </w:r>
      <w:r>
        <w:rPr>
          <w:rFonts w:hint="eastAsia" w:ascii="宋体" w:hAnsi="宋体" w:eastAsia="宋体" w:cs="宋体"/>
          <w:color w:val="auto"/>
          <w:sz w:val="24"/>
          <w:szCs w:val="24"/>
          <w:highlight w:val="none"/>
          <w:lang w:val="en-US" w:eastAsia="zh-Hans"/>
        </w:rPr>
        <w:t xml:space="preserve">脉冲</w:t>
      </w:r>
      <w:r>
        <w:rPr>
          <w:rFonts w:hint="eastAsia" w:ascii="宋体" w:hAnsi="宋体" w:eastAsia="宋体" w:cs="宋体"/>
          <w:color w:val="auto"/>
          <w:sz w:val="24"/>
          <w:szCs w:val="24"/>
          <w:highlight w:val="none"/>
          <w:lang w:val="en-US" w:eastAsia="zh-CN"/>
        </w:rPr>
        <w:t xml:space="preserve">频率：≥</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Hz</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、能量调节梯度：≤</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 J/cm</w:t>
      </w:r>
      <w:r>
        <w:rPr>
          <w:rFonts w:hint="eastAsia" w:ascii="宋体" w:hAnsi="宋体" w:eastAsia="宋体" w:cs="宋体"/>
          <w:color w:val="auto"/>
          <w:sz w:val="24"/>
          <w:szCs w:val="24"/>
          <w:highlight w:val="none"/>
          <w:vertAlign w:val="superscript"/>
          <w:lang w:val="en-US" w:eastAsia="zh-CN"/>
        </w:rPr>
        <w:t xml:space="preserve">2</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手柄</w:t>
      </w:r>
      <w:r>
        <w:rPr>
          <w:rFonts w:hint="eastAsia" w:ascii="宋体" w:hAnsi="宋体" w:eastAsia="宋体" w:cs="宋体"/>
          <w:color w:val="auto"/>
          <w:sz w:val="24"/>
          <w:szCs w:val="24"/>
          <w:highlight w:val="none"/>
          <w:lang w:val="en-US" w:eastAsia="zh-Hans"/>
        </w:rPr>
        <w:t xml:space="preserve">制冷</w:t>
      </w:r>
      <w:r>
        <w:rPr>
          <w:rFonts w:hint="eastAsia" w:ascii="宋体" w:hAnsi="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接触式冷却</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、冷却系统：内置水冷</w:t>
      </w:r>
      <w:r>
        <w:rPr>
          <w:rFonts w:hint="eastAsia" w:ascii="宋体" w:hAnsi="宋体" w:cs="宋体"/>
          <w:color w:val="auto"/>
          <w:sz w:val="24"/>
          <w:szCs w:val="24"/>
          <w:highlight w:val="none"/>
          <w:lang w:val="en-US" w:eastAsia="zh-CN"/>
        </w:rPr>
        <w:t xml:space="preserve">或风冷冷</w:t>
      </w:r>
      <w:r>
        <w:rPr>
          <w:rFonts w:hint="eastAsia" w:ascii="宋体" w:hAnsi="宋体" w:eastAsia="宋体" w:cs="宋体"/>
          <w:color w:val="auto"/>
          <w:sz w:val="24"/>
          <w:szCs w:val="24"/>
          <w:highlight w:val="none"/>
          <w:lang w:val="en-US" w:eastAsia="zh-CN"/>
        </w:rPr>
        <w:t xml:space="preserve">却系统，通过主机连接手具。</w:t>
      </w:r>
      <w:r/>
    </w:p>
    <w:p>
      <w:pPr>
        <w:numPr>
          <w:ilvl w:val="0"/>
          <w:numId w:val="0"/>
        </w:numPr>
        <w:ind w:firstLine="240"/>
        <w:jc w:val="left"/>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vertAlign w:val="baseline"/>
          <w:lang w:val="en-US" w:eastAsia="zh-CN"/>
        </w:rPr>
        <w:t xml:space="preserve">1</w:t>
      </w:r>
      <w:r>
        <w:rPr>
          <w:rFonts w:hint="eastAsia" w:ascii="宋体" w:hAnsi="宋体" w:cs="宋体"/>
          <w:color w:val="auto"/>
          <w:sz w:val="24"/>
          <w:szCs w:val="24"/>
          <w:highlight w:val="none"/>
          <w:vertAlign w:val="baseline"/>
          <w:lang w:val="en-US" w:eastAsia="zh-CN"/>
        </w:rPr>
        <w:t xml:space="preserve">6</w:t>
      </w:r>
      <w:r>
        <w:rPr>
          <w:rFonts w:hint="eastAsia" w:ascii="宋体" w:hAnsi="宋体" w:eastAsia="宋体" w:cs="宋体"/>
          <w:color w:val="auto"/>
          <w:sz w:val="24"/>
          <w:szCs w:val="24"/>
          <w:highlight w:val="none"/>
          <w:vertAlign w:val="baseline"/>
          <w:lang w:val="en-US" w:eastAsia="zh-CN"/>
        </w:rPr>
        <w:t xml:space="preserve">、有源医疗器械使用期限是指由医疗器械注册申请人/注册人通过风险管理保证产品安全有效使用的期限，在该期限内产品能够维持其适用范围，超出该期限后医疗器械的安全有效性将失去保证。激光和强脉冲光工作站（激光与强脉冲光系统）设备注册使用期限应≥5年。（提供投标产品说明书或投标同型号设备铭牌等相关证明材料，证明材料能体现满足前述技术要求。）</w:t>
      </w:r>
      <w:r/>
    </w:p>
    <w:p>
      <w:pPr>
        <w:numPr>
          <w:ilvl w:val="0"/>
          <w:numId w:val="0"/>
        </w:numPr>
        <w:jc w:val="left"/>
        <w:keepLines w:val="0"/>
        <w:keepNext w:val="0"/>
        <w:pageBreakBefore w:val="0"/>
        <w:spacing w:line="500" w:lineRule="exact"/>
        <w:widowControl/>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r>
      <w:r/>
    </w:p>
    <w:p>
      <w:pPr>
        <w:keepLines w:val="0"/>
        <w:keepNext w:val="0"/>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产品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：皮秒激光治疗仪</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lang w:val="en-US" w:eastAsia="zh-CN"/>
        </w:rPr>
        <w:t xml:space="preserve">1.</w:t>
      </w:r>
      <w:r>
        <w:rPr>
          <w:rFonts w:hint="eastAsia" w:ascii="宋体" w:hAnsi="宋体" w:cs="宋体"/>
          <w:i/>
          <w:iCs/>
          <w:color w:val="auto"/>
          <w:sz w:val="24"/>
          <w:szCs w:val="24"/>
          <w:highlight w:val="none"/>
          <w:u w:val="single"/>
          <w:lang w:val="en-US" w:eastAsia="zh-CN"/>
        </w:rPr>
        <w:t xml:space="preserve">注册</w:t>
      </w:r>
      <w:r>
        <w:rPr>
          <w:rFonts w:hint="eastAsia" w:ascii="宋体" w:hAnsi="宋体" w:eastAsia="宋体" w:cs="宋体"/>
          <w:i/>
          <w:iCs/>
          <w:color w:val="auto"/>
          <w:sz w:val="24"/>
          <w:szCs w:val="24"/>
          <w:highlight w:val="none"/>
          <w:u w:val="single"/>
          <w:lang w:val="en-US" w:eastAsia="zh-CN"/>
        </w:rPr>
        <w:t xml:space="preserve">适用范围/预期用途：需</w:t>
      </w:r>
      <w:r>
        <w:rPr>
          <w:rFonts w:hint="eastAsia" w:ascii="宋体" w:hAnsi="宋体" w:cs="宋体"/>
          <w:i/>
          <w:iCs/>
          <w:color w:val="auto"/>
          <w:sz w:val="24"/>
          <w:szCs w:val="24"/>
          <w:highlight w:val="none"/>
          <w:u w:val="single"/>
          <w:lang w:val="en-US" w:eastAsia="zh-CN"/>
        </w:rPr>
        <w:t xml:space="preserve">至少包括</w:t>
      </w:r>
      <w:r>
        <w:rPr>
          <w:rFonts w:hint="eastAsia" w:ascii="宋体" w:hAnsi="宋体" w:eastAsia="宋体" w:cs="宋体"/>
          <w:i/>
          <w:iCs/>
          <w:color w:val="auto"/>
          <w:sz w:val="24"/>
          <w:szCs w:val="24"/>
          <w:highlight w:val="none"/>
          <w:u w:val="single"/>
          <w:lang w:val="en-US" w:eastAsia="zh-CN"/>
        </w:rPr>
        <w:t xml:space="preserve">良性色素增加性疾病</w:t>
      </w:r>
      <w:r>
        <w:rPr>
          <w:rFonts w:hint="eastAsia" w:ascii="宋体" w:hAnsi="宋体" w:cs="宋体"/>
          <w:i/>
          <w:iCs/>
          <w:color w:val="auto"/>
          <w:sz w:val="24"/>
          <w:szCs w:val="24"/>
          <w:highlight w:val="none"/>
          <w:u w:val="single"/>
          <w:lang w:val="en-US" w:eastAsia="zh-CN"/>
        </w:rPr>
        <w:t xml:space="preserve">的</w:t>
      </w:r>
      <w:r>
        <w:rPr>
          <w:rFonts w:hint="eastAsia" w:ascii="宋体" w:hAnsi="宋体" w:eastAsia="宋体" w:cs="宋体"/>
          <w:i/>
          <w:iCs/>
          <w:color w:val="auto"/>
          <w:sz w:val="24"/>
          <w:szCs w:val="24"/>
          <w:highlight w:val="none"/>
          <w:u w:val="single"/>
          <w:lang w:val="en-US" w:eastAsia="zh-CN"/>
        </w:rPr>
        <w:t xml:space="preserve">治疗</w:t>
      </w:r>
      <w:r>
        <w:rPr>
          <w:rFonts w:hint="eastAsia" w:ascii="宋体" w:hAnsi="宋体" w:cs="宋体"/>
          <w:i/>
          <w:iCs/>
          <w:color w:val="auto"/>
          <w:sz w:val="24"/>
          <w:szCs w:val="24"/>
          <w:highlight w:val="none"/>
          <w:u w:val="single"/>
          <w:lang w:val="en-US" w:eastAsia="zh-CN"/>
        </w:rPr>
        <w:t xml:space="preserve">（需</w:t>
      </w:r>
      <w:r>
        <w:rPr>
          <w:rFonts w:hint="eastAsia" w:ascii="宋体" w:hAnsi="宋体" w:eastAsia="宋体" w:cs="宋体"/>
          <w:i/>
          <w:iCs/>
          <w:color w:val="auto"/>
          <w:sz w:val="24"/>
          <w:szCs w:val="24"/>
          <w:highlight w:val="none"/>
          <w:u w:val="single"/>
          <w:lang w:val="en-US" w:eastAsia="zh-CN"/>
        </w:rPr>
        <w:t xml:space="preserve">提供医疗器械注册证</w:t>
      </w:r>
      <w:r>
        <w:rPr>
          <w:rFonts w:hint="eastAsia" w:ascii="宋体" w:hAnsi="宋体" w:cs="宋体"/>
          <w:i/>
          <w:iCs/>
          <w:color w:val="auto"/>
          <w:sz w:val="24"/>
          <w:szCs w:val="24"/>
          <w:highlight w:val="none"/>
          <w:u w:val="single"/>
          <w:lang w:val="en-US" w:eastAsia="zh-CN"/>
        </w:rPr>
        <w:t xml:space="preserve">或产品说明书</w:t>
      </w:r>
      <w:r>
        <w:rPr>
          <w:rFonts w:hint="eastAsia" w:ascii="宋体" w:hAnsi="宋体" w:eastAsia="宋体" w:cs="宋体"/>
          <w:i/>
          <w:iCs/>
          <w:color w:val="auto"/>
          <w:sz w:val="24"/>
          <w:szCs w:val="24"/>
          <w:highlight w:val="none"/>
          <w:u w:val="single"/>
          <w:lang w:val="en-US" w:eastAsia="zh-CN"/>
        </w:rPr>
        <w:t xml:space="preserve">佐证</w:t>
      </w:r>
      <w:r>
        <w:rPr>
          <w:rFonts w:hint="eastAsia" w:ascii="宋体" w:hAnsi="宋体" w:cs="宋体"/>
          <w:i/>
          <w:iCs/>
          <w:color w:val="auto"/>
          <w:sz w:val="24"/>
          <w:szCs w:val="24"/>
          <w:highlight w:val="none"/>
          <w:u w:val="single"/>
          <w:lang w:val="en-US" w:eastAsia="zh-CN"/>
        </w:rPr>
        <w:t xml:space="preserve">）</w:t>
      </w:r>
      <w:r>
        <w:rPr>
          <w:rFonts w:hint="eastAsia" w:ascii="宋体" w:hAnsi="宋体" w:eastAsia="宋体" w:cs="宋体"/>
          <w:i/>
          <w:iCs/>
          <w:color w:val="auto"/>
          <w:sz w:val="24"/>
          <w:szCs w:val="24"/>
          <w:highlight w:val="none"/>
          <w:u w:val="singl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2.产品技术性能：</w:t>
      </w:r>
      <w:r/>
    </w:p>
    <w:p>
      <w:pPr>
        <w:ind w:firstLine="24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▲2.1激光波长：1064nm和532nm； </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2.2激光终端单脉冲最大输出能量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400mJ</w:t>
      </w:r>
      <w:r>
        <w:rPr>
          <w:rFonts w:hint="eastAsia" w:ascii="宋体" w:hAnsi="宋体" w:cs="宋体"/>
          <w:color w:val="auto"/>
          <w:sz w:val="24"/>
          <w:szCs w:val="24"/>
          <w:highlight w:val="none"/>
          <w:lang w:val="en-US" w:eastAsia="zh-CN"/>
        </w:rPr>
        <w:t xml:space="preserve">；</w:t>
      </w:r>
      <w:r/>
    </w:p>
    <w:p>
      <w:pPr>
        <w:ind w:firstLine="24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2.3 最小激光脉冲宽度</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0ps</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 激光模式：多模式；</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能量密度：每个光斑直径下，能量连续可调；</w:t>
      </w:r>
      <w:r/>
    </w:p>
    <w:p>
      <w:pPr>
        <w:ind w:firstLine="24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▲2.6激光输出最大峰值功率：≥1.4GW；</w:t>
      </w:r>
      <w:r/>
    </w:p>
    <w:p>
      <w:pPr>
        <w:ind w:firstLine="48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2.7激光输出最大能量密度:≥12 J/cm</w:t>
      </w:r>
      <w:r>
        <w:rPr>
          <w:rFonts w:hint="eastAsia" w:ascii="宋体" w:hAnsi="宋体" w:cs="宋体"/>
          <w:color w:val="auto"/>
          <w:sz w:val="24"/>
          <w:szCs w:val="24"/>
          <w:highlight w:val="none"/>
          <w:vertAlign w:val="superscript"/>
          <w:lang w:val="en-US" w:eastAsia="zh-CN"/>
        </w:rPr>
        <w:t xml:space="preserve">2</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 重复频率：1Hz-10Hz，连续可调步进1Hz；</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2.9光斑尺寸：2mm-</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mm，连续可调步进1mm；</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2.10瞄准光波长：650nm</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2.11激光输出系统：采用关节导光臂，无传输光纤等耗材；</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设备治疗过程中没有任何日常消耗品；</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 操作面板：具备触摸屏功能；</w:t>
      </w:r>
      <w:r/>
    </w:p>
    <w:p>
      <w:pPr>
        <w:ind w:firstLine="24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 脉冲控制方式：脚踏开关控制；</w:t>
      </w:r>
      <w:r/>
    </w:p>
    <w:p>
      <w:pPr>
        <w:ind w:firstLine="24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 能量校准方式：自动程序校准；</w:t>
      </w:r>
      <w:r/>
    </w:p>
    <w:p>
      <w:pPr>
        <w:ind w:firstLine="24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2.1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 冷却系统:内置水冷或风冷冷却系统；</w:t>
      </w:r>
      <w:r/>
    </w:p>
    <w:p>
      <w:pPr>
        <w:numPr>
          <w:ilvl w:val="-1"/>
          <w:numId w:val="0"/>
        </w:numPr>
        <w:ind w:left="0" w:right="0" w:firstLine="240"/>
        <w:jc w:val="both"/>
        <w:keepLines w:val="0"/>
        <w:keepNext w:val="0"/>
        <w:pageBreakBefore w:val="0"/>
        <w:spacing w:before="0" w:after="0" w:line="500" w:lineRule="exact"/>
        <w:widowControl w:val="off"/>
        <w:tabs>
          <w:tab w:val="left" w:pos="6352" w:leader="none"/>
        </w:tabs>
        <w:rPr>
          <w:rFonts w:hint="eastAsia" w:ascii="宋体" w:hAnsi="宋体" w:eastAsia="宋体" w:cs="宋体"/>
          <w:b/>
          <w:bCs w:val="0"/>
          <w:i w:val="0"/>
          <w:iCs w:val="0"/>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 有源医疗器械使用期限是指由医疗器械注册申请人/注册人通过风险管理保证产品安全有效使用的期限，在该期限内产品能够维持其适用范围，超出该期限后医疗器械的安全有效性将失去保证。皮秒激光治疗仪设备注册使用期限应≥5年。（提供投标产品说明书或投标同型号设备铭牌等相关证明材料，证明材料能体现满足前述技术要求</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cs="宋体"/>
          <w:b/>
          <w:bCs w:val="0"/>
          <w:i w:val="0"/>
          <w:iCs w:val="0"/>
          <w:color w:val="auto"/>
          <w:sz w:val="24"/>
          <w:highlight w:val="none"/>
          <w:u w:val="none"/>
          <w:lang w:eastAsia="zh-CN"/>
        </w:rPr>
        <w:tab/>
      </w:r>
      <w:r/>
    </w:p>
    <w:p>
      <w:pPr>
        <w:pStyle w:val="855"/>
        <w:ind w:firstLine="0"/>
        <w:keepLines w:val="0"/>
        <w:keepNext w:val="0"/>
        <w:pageBreakBefore w:val="0"/>
        <w:spacing w:line="360" w:lineRule="auto"/>
        <w:widowControl w:val="off"/>
        <w:rPr>
          <w:rFonts w:hint="eastAsia" w:ascii="宋体" w:hAnsi="宋体" w:eastAsia="宋体" w:cs="宋体"/>
          <w:b/>
          <w:bCs w:val="0"/>
          <w:i/>
          <w:iCs/>
          <w:color w:val="auto"/>
          <w:sz w:val="24"/>
          <w:highlight w:val="none"/>
          <w:u w:val="single"/>
        </w:rPr>
        <w:outlineLvl w:val="1"/>
      </w:pPr>
      <w:r>
        <w:rPr>
          <w:rFonts w:hint="eastAsia" w:ascii="宋体" w:hAnsi="宋体" w:eastAsia="宋体" w:cs="宋体"/>
          <w:b/>
          <w:bCs w:val="0"/>
          <w:i/>
          <w:iCs/>
          <w:color w:val="auto"/>
          <w:sz w:val="24"/>
          <w:highlight w:val="none"/>
          <w:u w:val="single"/>
        </w:rPr>
      </w:r>
      <w:r/>
    </w:p>
    <w:p>
      <w:pPr>
        <w:pStyle w:val="855"/>
        <w:ind w:firstLine="0"/>
        <w:keepLines w:val="0"/>
        <w:keepNext w:val="0"/>
        <w:pageBreakBefore w:val="0"/>
        <w:spacing w:line="360" w:lineRule="auto"/>
        <w:widowControl w:val="off"/>
        <w:rPr>
          <w:rFonts w:hint="eastAsia" w:ascii="宋体" w:hAnsi="宋体" w:cs="宋体"/>
          <w:i/>
          <w:color w:val="auto"/>
          <w:sz w:val="24"/>
          <w:highlight w:val="none"/>
          <w:u w:val="single"/>
          <w:lang w:eastAsia="zh-CN"/>
        </w:rPr>
        <w:outlineLvl w:val="1"/>
      </w:pPr>
      <w:r>
        <w:rPr>
          <w:rFonts w:hint="eastAsia" w:ascii="宋体" w:hAnsi="宋体" w:eastAsia="宋体" w:cs="宋体"/>
          <w:b/>
          <w:bCs w:val="0"/>
          <w:i/>
          <w:iCs/>
          <w:color w:val="auto"/>
          <w:sz w:val="24"/>
          <w:highlight w:val="none"/>
          <w:u w:val="single"/>
        </w:rPr>
        <w:t xml:space="preserve">特别说明：</w:t>
      </w:r>
      <w:r>
        <w:rPr>
          <w:rFonts w:hint="eastAsia" w:ascii="宋体" w:hAnsi="宋体" w:cs="宋体"/>
          <w:i/>
          <w:color w:val="auto"/>
          <w:sz w:val="24"/>
          <w:highlight w:val="none"/>
          <w:u w:val="single"/>
        </w:rPr>
        <w:t xml:space="preserve">技术参数中</w:t>
      </w:r>
      <w:r>
        <w:rPr>
          <w:rFonts w:ascii="宋体" w:hAnsi="宋体" w:cs="宋体"/>
          <w:i/>
          <w:color w:val="auto"/>
          <w:sz w:val="24"/>
          <w:highlight w:val="none"/>
          <w:u w:val="single"/>
        </w:rPr>
        <w:t xml:space="preserve">斜体且有下划线部分为实质性要求和条件</w:t>
      </w:r>
      <w:r>
        <w:rPr>
          <w:rFonts w:hint="eastAsia" w:ascii="宋体" w:hAnsi="宋体" w:cs="宋体"/>
          <w:i/>
          <w:color w:val="auto"/>
          <w:sz w:val="24"/>
          <w:highlight w:val="none"/>
          <w:u w:val="single"/>
        </w:rPr>
        <w:t xml:space="preserve">，不得负偏离，须按清单逐条制作技术参数响应偏离表，否则视作未实质性响应采购文件要求【供应商完全同意条款（即无偏离）或提出对采购人更有利的条款（即正偏离）都属于响应，供应商不同意某项条款（即负偏离）的属于不响应】，按无效响应处理。（特别说明如某项中包含多条技术参数或要求，则该项所含内容均需满足或优于招标文件要求，否则不予认可。）</w:t>
      </w:r>
      <w:r>
        <w:rPr>
          <w:rFonts w:hint="eastAsia" w:ascii="宋体" w:hAnsi="宋体" w:cs="宋体"/>
          <w:i/>
          <w:color w:val="auto"/>
          <w:sz w:val="24"/>
          <w:highlight w:val="none"/>
          <w:u w:val="single"/>
          <w:lang w:eastAsia="zh-CN"/>
        </w:rPr>
        <w:t xml:space="preserve">。</w:t>
      </w:r>
      <w:r/>
    </w:p>
    <w:p>
      <w:pPr>
        <w:spacing w:line="360" w:lineRule="auto"/>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en-US" w:eastAsia="zh-CN"/>
        </w:rPr>
      </w:r>
      <w:r/>
    </w:p>
    <w:p>
      <w:pPr>
        <w:spacing w:line="360" w:lineRule="auto"/>
        <w:rPr>
          <w:rFonts w:ascii="宋体" w:hAnsi="宋体"/>
          <w:b/>
          <w:color w:val="auto"/>
          <w:sz w:val="28"/>
          <w:szCs w:val="28"/>
          <w:highlight w:val="none"/>
        </w:rPr>
      </w:pPr>
      <w:r>
        <w:rPr>
          <w:rFonts w:hint="eastAsia" w:ascii="宋体" w:hAnsi="宋体"/>
          <w:b/>
          <w:color w:val="auto"/>
          <w:sz w:val="28"/>
          <w:szCs w:val="28"/>
          <w:highlight w:val="none"/>
          <w:lang w:val="en-US" w:eastAsia="zh-CN"/>
        </w:rPr>
        <w:t xml:space="preserve">三</w:t>
      </w:r>
      <w:r>
        <w:rPr>
          <w:rFonts w:hint="eastAsia" w:ascii="宋体" w:hAnsi="宋体"/>
          <w:b/>
          <w:color w:val="auto"/>
          <w:sz w:val="28"/>
          <w:szCs w:val="28"/>
          <w:highlight w:val="none"/>
        </w:rPr>
        <w:t xml:space="preserve">、商务要求</w:t>
      </w:r>
      <w:r/>
    </w:p>
    <w:p>
      <w:pPr>
        <w:ind w:firstLine="482"/>
        <w:keepLines w:val="0"/>
        <w:keepNext w:val="0"/>
        <w:pageBreakBefore w:val="0"/>
        <w:spacing w:line="360" w:lineRule="auto"/>
        <w:widowControl w:val="off"/>
        <w:rPr>
          <w:rStyle w:val="856"/>
          <w:rFonts w:hint="eastAsia" w:ascii="宋体" w:hAnsi="宋体" w:eastAsia="宋体" w:cs="宋体"/>
          <w:bCs/>
          <w:i/>
          <w:iCs/>
          <w:color w:val="auto"/>
          <w:sz w:val="24"/>
          <w:szCs w:val="24"/>
          <w:highlight w:val="none"/>
          <w:u w:val="single"/>
        </w:rPr>
      </w:pPr>
      <w:r>
        <w:rPr>
          <w:rStyle w:val="856"/>
          <w:rFonts w:hint="eastAsia" w:ascii="宋体" w:hAnsi="宋体" w:eastAsia="宋体" w:cs="宋体"/>
          <w:b/>
          <w:i/>
          <w:iCs/>
          <w:color w:val="auto"/>
          <w:sz w:val="24"/>
          <w:szCs w:val="24"/>
          <w:highlight w:val="none"/>
          <w:u w:val="single"/>
        </w:rPr>
        <w:t xml:space="preserve">1、</w:t>
      </w:r>
      <w:r>
        <w:rPr>
          <w:rStyle w:val="856"/>
          <w:rFonts w:hint="eastAsia" w:ascii="宋体" w:hAnsi="宋体" w:eastAsia="宋体" w:cs="宋体"/>
          <w:b/>
          <w:i/>
          <w:iCs/>
          <w:color w:val="auto"/>
          <w:sz w:val="24"/>
          <w:szCs w:val="24"/>
          <w:highlight w:val="none"/>
          <w:u w:val="single"/>
          <w:lang w:val="zh-CN"/>
        </w:rPr>
        <w:t xml:space="preserve">交货期：</w:t>
      </w:r>
      <w:r>
        <w:rPr>
          <w:rStyle w:val="856"/>
          <w:rFonts w:hint="eastAsia" w:ascii="宋体" w:hAnsi="宋体" w:eastAsia="宋体" w:cs="宋体"/>
          <w:bCs/>
          <w:i/>
          <w:iCs/>
          <w:color w:val="auto"/>
          <w:sz w:val="24"/>
          <w:szCs w:val="24"/>
          <w:highlight w:val="none"/>
          <w:u w:val="single"/>
        </w:rPr>
        <w:t xml:space="preserve">必须在合同签订后</w:t>
      </w:r>
      <w:r>
        <w:rPr>
          <w:rStyle w:val="856"/>
          <w:rFonts w:hint="eastAsia" w:ascii="宋体" w:hAnsi="宋体" w:cs="宋体"/>
          <w:bCs/>
          <w:i/>
          <w:iCs/>
          <w:color w:val="auto"/>
          <w:sz w:val="24"/>
          <w:szCs w:val="24"/>
          <w:highlight w:val="none"/>
          <w:u w:val="single"/>
          <w:lang w:val="en-US" w:eastAsia="zh-CN"/>
        </w:rPr>
        <w:t xml:space="preserve">60日</w:t>
      </w:r>
      <w:r>
        <w:rPr>
          <w:rStyle w:val="856"/>
          <w:rFonts w:hint="eastAsia" w:ascii="宋体" w:hAnsi="宋体" w:eastAsia="宋体" w:cs="宋体"/>
          <w:bCs/>
          <w:i/>
          <w:iCs/>
          <w:color w:val="auto"/>
          <w:sz w:val="24"/>
          <w:szCs w:val="24"/>
          <w:highlight w:val="none"/>
          <w:u w:val="single"/>
        </w:rPr>
        <w:t xml:space="preserve">内完成到货、安装、调试工作并交付使用，中标价包括安装调试过程中产生的一切费用。</w:t>
      </w:r>
      <w:r/>
    </w:p>
    <w:p>
      <w:pPr>
        <w:ind w:firstLine="482"/>
        <w:keepLines w:val="0"/>
        <w:keepNext w:val="0"/>
        <w:pageBreakBefore w:val="0"/>
        <w:spacing w:line="360" w:lineRule="auto"/>
        <w:widowControl w:val="off"/>
        <w:rPr>
          <w:rStyle w:val="856"/>
          <w:rFonts w:hint="eastAsia" w:ascii="宋体" w:hAnsi="宋体" w:eastAsia="宋体" w:cs="宋体"/>
          <w:b/>
          <w:i/>
          <w:iCs/>
          <w:color w:val="auto"/>
          <w:sz w:val="24"/>
          <w:szCs w:val="24"/>
          <w:highlight w:val="none"/>
          <w:u w:val="single"/>
          <w:lang w:val="zh-CN"/>
        </w:rPr>
      </w:pPr>
      <w:r>
        <w:rPr>
          <w:rStyle w:val="856"/>
          <w:rFonts w:hint="eastAsia" w:ascii="宋体" w:hAnsi="宋体" w:eastAsia="宋体" w:cs="宋体"/>
          <w:b/>
          <w:i/>
          <w:iCs/>
          <w:color w:val="auto"/>
          <w:sz w:val="24"/>
          <w:szCs w:val="24"/>
          <w:highlight w:val="none"/>
          <w:u w:val="single"/>
        </w:rPr>
        <w:t xml:space="preserve">2、</w:t>
      </w:r>
      <w:r>
        <w:rPr>
          <w:rStyle w:val="856"/>
          <w:rFonts w:hint="eastAsia" w:ascii="宋体" w:hAnsi="宋体" w:eastAsia="宋体" w:cs="宋体"/>
          <w:b/>
          <w:i/>
          <w:iCs/>
          <w:color w:val="auto"/>
          <w:sz w:val="24"/>
          <w:szCs w:val="24"/>
          <w:highlight w:val="none"/>
          <w:u w:val="single"/>
          <w:lang w:val="zh-CN"/>
        </w:rPr>
        <w:t xml:space="preserve">交货方式：</w:t>
      </w:r>
      <w:r>
        <w:rPr>
          <w:rStyle w:val="856"/>
          <w:rFonts w:hint="eastAsia" w:ascii="宋体" w:hAnsi="宋体" w:eastAsia="宋体" w:cs="宋体"/>
          <w:bCs/>
          <w:i/>
          <w:iCs/>
          <w:color w:val="auto"/>
          <w:sz w:val="24"/>
          <w:szCs w:val="24"/>
          <w:highlight w:val="none"/>
          <w:u w:val="single"/>
        </w:rPr>
        <w:t xml:space="preserve">送货到</w:t>
      </w:r>
      <w:r>
        <w:rPr>
          <w:rStyle w:val="856"/>
          <w:rFonts w:hint="eastAsia" w:ascii="宋体" w:hAnsi="宋体" w:cs="宋体"/>
          <w:bCs/>
          <w:i/>
          <w:iCs/>
          <w:color w:val="auto"/>
          <w:sz w:val="24"/>
          <w:szCs w:val="24"/>
          <w:highlight w:val="none"/>
          <w:u w:val="single"/>
          <w:lang w:val="en-US"/>
        </w:rPr>
        <w:t xml:space="preserve">采购人</w:t>
      </w:r>
      <w:r>
        <w:rPr>
          <w:rStyle w:val="856"/>
          <w:rFonts w:hint="eastAsia" w:ascii="宋体" w:hAnsi="宋体" w:eastAsia="宋体" w:cs="宋体"/>
          <w:bCs/>
          <w:i/>
          <w:iCs/>
          <w:color w:val="auto"/>
          <w:sz w:val="24"/>
          <w:szCs w:val="24"/>
          <w:highlight w:val="none"/>
          <w:u w:val="single"/>
        </w:rPr>
        <w:t xml:space="preserve">指定地点并安装调试</w:t>
      </w:r>
      <w:r>
        <w:rPr>
          <w:rStyle w:val="856"/>
          <w:rFonts w:hint="eastAsia" w:ascii="宋体" w:hAnsi="宋体" w:eastAsia="宋体" w:cs="宋体"/>
          <w:bCs/>
          <w:i/>
          <w:iCs/>
          <w:color w:val="auto"/>
          <w:sz w:val="24"/>
          <w:szCs w:val="24"/>
          <w:highlight w:val="none"/>
          <w:u w:val="single"/>
          <w:lang w:val="zh-CN"/>
        </w:rPr>
        <w:t xml:space="preserve">。</w:t>
      </w:r>
      <w:r/>
    </w:p>
    <w:p>
      <w:pPr>
        <w:ind w:firstLine="482"/>
        <w:keepLines w:val="0"/>
        <w:keepNext w:val="0"/>
        <w:pageBreakBefore w:val="0"/>
        <w:spacing w:line="360" w:lineRule="auto"/>
        <w:widowControl w:val="off"/>
        <w:rPr>
          <w:rStyle w:val="856"/>
          <w:rFonts w:hint="eastAsia" w:ascii="宋体" w:hAnsi="宋体" w:eastAsia="宋体" w:cs="宋体"/>
          <w:i/>
          <w:iCs/>
          <w:color w:val="auto"/>
          <w:sz w:val="24"/>
          <w:szCs w:val="24"/>
          <w:highlight w:val="none"/>
          <w:u w:val="single"/>
        </w:rPr>
      </w:pPr>
      <w:r>
        <w:rPr>
          <w:rStyle w:val="856"/>
          <w:rFonts w:hint="eastAsia" w:ascii="宋体" w:hAnsi="宋体" w:eastAsia="宋体" w:cs="宋体"/>
          <w:b/>
          <w:i/>
          <w:iCs/>
          <w:color w:val="auto"/>
          <w:sz w:val="24"/>
          <w:szCs w:val="24"/>
          <w:highlight w:val="none"/>
          <w:u w:val="single"/>
        </w:rPr>
        <w:t xml:space="preserve">3、</w:t>
      </w:r>
      <w:r>
        <w:rPr>
          <w:rStyle w:val="856"/>
          <w:rFonts w:hint="eastAsia" w:ascii="宋体" w:hAnsi="宋体" w:eastAsia="宋体" w:cs="宋体"/>
          <w:b/>
          <w:i/>
          <w:iCs/>
          <w:color w:val="auto"/>
          <w:sz w:val="24"/>
          <w:szCs w:val="24"/>
          <w:highlight w:val="none"/>
          <w:u w:val="single"/>
          <w:lang w:val="zh-CN"/>
        </w:rPr>
        <w:t xml:space="preserve">交货地点：</w:t>
      </w:r>
      <w:r>
        <w:rPr>
          <w:rStyle w:val="856"/>
          <w:rFonts w:hint="eastAsia" w:ascii="宋体" w:hAnsi="宋体" w:cs="宋体"/>
          <w:i/>
          <w:iCs/>
          <w:color w:val="auto"/>
          <w:sz w:val="24"/>
          <w:szCs w:val="24"/>
          <w:highlight w:val="none"/>
          <w:u w:val="single"/>
          <w:lang w:val="en-US"/>
        </w:rPr>
        <w:t xml:space="preserve">采购人</w:t>
      </w:r>
      <w:r>
        <w:rPr>
          <w:rStyle w:val="856"/>
          <w:rFonts w:hint="eastAsia" w:ascii="宋体" w:hAnsi="宋体" w:eastAsia="宋体" w:cs="宋体"/>
          <w:i/>
          <w:iCs/>
          <w:color w:val="auto"/>
          <w:sz w:val="24"/>
          <w:szCs w:val="24"/>
          <w:highlight w:val="none"/>
          <w:u w:val="single"/>
        </w:rPr>
        <w:t xml:space="preserve">指定地点。</w:t>
      </w:r>
      <w:r/>
    </w:p>
    <w:p>
      <w:pPr>
        <w:ind w:firstLine="482"/>
        <w:keepLines w:val="0"/>
        <w:keepNext w:val="0"/>
        <w:pageBreakBefore w:val="0"/>
        <w:spacing w:line="360" w:lineRule="auto"/>
        <w:widowControl w:val="off"/>
        <w:rPr>
          <w:rStyle w:val="856"/>
          <w:rFonts w:hint="eastAsia" w:ascii="宋体" w:hAnsi="宋体" w:eastAsia="宋体" w:cs="宋体"/>
          <w:b w:val="0"/>
          <w:bCs/>
          <w:i/>
          <w:iCs/>
          <w:color w:val="auto"/>
          <w:sz w:val="24"/>
          <w:szCs w:val="24"/>
          <w:highlight w:val="none"/>
          <w:u w:val="single"/>
          <w:lang w:val="en-US" w:eastAsia="zh-CN"/>
        </w:rPr>
      </w:pPr>
      <w:r>
        <w:rPr>
          <w:rStyle w:val="856"/>
          <w:rFonts w:hint="eastAsia" w:ascii="宋体" w:hAnsi="宋体" w:eastAsia="宋体" w:cs="宋体"/>
          <w:b/>
          <w:i/>
          <w:iCs/>
          <w:color w:val="auto"/>
          <w:sz w:val="24"/>
          <w:szCs w:val="24"/>
          <w:highlight w:val="none"/>
          <w:u w:val="single"/>
          <w:lang w:val="en-US" w:eastAsia="zh-CN"/>
        </w:rPr>
        <w:t xml:space="preserve">4、付款方式：</w:t>
      </w:r>
      <w:r>
        <w:rPr>
          <w:rStyle w:val="856"/>
          <w:rFonts w:hint="eastAsia" w:ascii="宋体" w:hAnsi="宋体" w:eastAsia="宋体" w:cs="宋体"/>
          <w:b w:val="0"/>
          <w:bCs/>
          <w:i/>
          <w:iCs/>
          <w:color w:val="auto"/>
          <w:sz w:val="24"/>
          <w:szCs w:val="24"/>
          <w:highlight w:val="none"/>
          <w:u w:val="single"/>
          <w:lang w:val="en-US" w:eastAsia="zh-CN"/>
        </w:rPr>
        <w:t xml:space="preserve">合同签订后，采购人自收到发票后10个工作日内，支付合同金额的</w:t>
      </w:r>
      <w:r>
        <w:rPr>
          <w:rStyle w:val="856"/>
          <w:rFonts w:hint="eastAsia" w:ascii="宋体" w:hAnsi="宋体" w:cs="宋体"/>
          <w:b w:val="0"/>
          <w:bCs/>
          <w:i/>
          <w:iCs/>
          <w:color w:val="auto"/>
          <w:sz w:val="24"/>
          <w:szCs w:val="24"/>
          <w:highlight w:val="none"/>
          <w:u w:val="single"/>
          <w:lang w:val="en-US" w:eastAsia="zh-CN"/>
        </w:rPr>
        <w:t xml:space="preserve">3</w:t>
      </w:r>
      <w:r>
        <w:rPr>
          <w:rStyle w:val="856"/>
          <w:rFonts w:hint="eastAsia" w:ascii="宋体" w:hAnsi="宋体" w:eastAsia="宋体" w:cs="宋体"/>
          <w:b w:val="0"/>
          <w:bCs/>
          <w:i/>
          <w:iCs/>
          <w:color w:val="auto"/>
          <w:sz w:val="24"/>
          <w:szCs w:val="24"/>
          <w:highlight w:val="none"/>
          <w:u w:val="single"/>
          <w:lang w:val="en-US" w:eastAsia="zh-CN"/>
        </w:rPr>
        <w:t xml:space="preserve">0%作为预付款，设备经安装调试验收合格后支付合同金额的</w:t>
      </w:r>
      <w:r>
        <w:rPr>
          <w:rStyle w:val="856"/>
          <w:rFonts w:hint="eastAsia" w:ascii="宋体" w:hAnsi="宋体" w:cs="宋体"/>
          <w:b w:val="0"/>
          <w:bCs/>
          <w:i/>
          <w:iCs/>
          <w:color w:val="auto"/>
          <w:sz w:val="24"/>
          <w:szCs w:val="24"/>
          <w:highlight w:val="none"/>
          <w:u w:val="single"/>
          <w:lang w:val="en-US" w:eastAsia="zh-CN"/>
        </w:rPr>
        <w:t xml:space="preserve">6</w:t>
      </w:r>
      <w:r>
        <w:rPr>
          <w:rStyle w:val="856"/>
          <w:rFonts w:hint="eastAsia" w:ascii="宋体" w:hAnsi="宋体" w:eastAsia="宋体" w:cs="宋体"/>
          <w:b w:val="0"/>
          <w:bCs/>
          <w:i/>
          <w:iCs/>
          <w:color w:val="auto"/>
          <w:sz w:val="24"/>
          <w:szCs w:val="24"/>
          <w:highlight w:val="none"/>
          <w:u w:val="single"/>
          <w:lang w:val="en-US" w:eastAsia="zh-CN"/>
        </w:rPr>
        <w:t xml:space="preserve">0%，余款合同金额的10%在设备验收合格后十二个月付清。</w:t>
      </w:r>
      <w:r/>
    </w:p>
    <w:p>
      <w:pPr>
        <w:ind w:firstLine="482"/>
        <w:keepLines w:val="0"/>
        <w:keepNext w:val="0"/>
        <w:pageBreakBefore w:val="0"/>
        <w:spacing w:line="360" w:lineRule="auto"/>
        <w:widowControl w:val="off"/>
        <w:rPr>
          <w:rStyle w:val="856"/>
          <w:rFonts w:hint="default" w:ascii="宋体" w:hAnsi="宋体" w:eastAsia="宋体" w:cs="宋体"/>
          <w:b w:val="0"/>
          <w:bCs/>
          <w:i/>
          <w:iCs/>
          <w:color w:val="auto"/>
          <w:sz w:val="24"/>
          <w:szCs w:val="24"/>
          <w:highlight w:val="none"/>
          <w:u w:val="single"/>
          <w:lang w:val="en-US" w:eastAsia="zh-CN"/>
        </w:rPr>
      </w:pPr>
      <w:r>
        <w:rPr>
          <w:rStyle w:val="856"/>
          <w:rFonts w:hint="eastAsia" w:ascii="宋体" w:hAnsi="宋体" w:eastAsia="宋体" w:cs="宋体"/>
          <w:b/>
          <w:i/>
          <w:iCs/>
          <w:color w:val="auto"/>
          <w:sz w:val="24"/>
          <w:szCs w:val="24"/>
          <w:highlight w:val="none"/>
          <w:u w:val="single"/>
          <w:lang w:val="en-US" w:eastAsia="zh-CN"/>
        </w:rPr>
        <w:t xml:space="preserve">5、</w:t>
      </w:r>
      <w:r>
        <w:rPr>
          <w:rStyle w:val="856"/>
          <w:rFonts w:hint="eastAsia" w:ascii="宋体" w:hAnsi="宋体" w:cs="宋体"/>
          <w:b/>
          <w:i/>
          <w:iCs/>
          <w:color w:val="auto"/>
          <w:sz w:val="24"/>
          <w:szCs w:val="24"/>
          <w:highlight w:val="none"/>
          <w:u w:val="single"/>
          <w:lang w:val="en-US" w:eastAsia="zh-CN"/>
        </w:rPr>
        <w:t xml:space="preserve">免费质保期</w:t>
      </w:r>
      <w:r>
        <w:rPr>
          <w:rStyle w:val="856"/>
          <w:rFonts w:hint="eastAsia" w:ascii="宋体" w:hAnsi="宋体" w:eastAsia="宋体" w:cs="宋体"/>
          <w:b/>
          <w:i/>
          <w:iCs/>
          <w:color w:val="auto"/>
          <w:sz w:val="24"/>
          <w:szCs w:val="24"/>
          <w:highlight w:val="none"/>
          <w:u w:val="single"/>
          <w:lang w:val="en-US" w:eastAsia="zh-CN"/>
        </w:rPr>
        <w:t xml:space="preserve">：</w:t>
      </w:r>
      <w:r>
        <w:rPr>
          <w:rStyle w:val="856"/>
          <w:rFonts w:hint="eastAsia" w:ascii="宋体" w:hAnsi="宋体" w:eastAsia="宋体" w:cs="宋体"/>
          <w:b w:val="0"/>
          <w:bCs/>
          <w:i/>
          <w:iCs/>
          <w:color w:val="auto"/>
          <w:sz w:val="24"/>
          <w:szCs w:val="24"/>
          <w:highlight w:val="none"/>
          <w:u w:val="single"/>
          <w:lang w:val="en-US" w:eastAsia="zh-CN"/>
        </w:rPr>
        <w:t xml:space="preserve">原厂质保 </w:t>
      </w:r>
      <w:r>
        <w:rPr>
          <w:rStyle w:val="856"/>
          <w:rFonts w:hint="eastAsia" w:ascii="宋体" w:hAnsi="宋体" w:cs="宋体"/>
          <w:b w:val="0"/>
          <w:bCs/>
          <w:i/>
          <w:iCs/>
          <w:color w:val="auto"/>
          <w:sz w:val="24"/>
          <w:szCs w:val="24"/>
          <w:highlight w:val="none"/>
          <w:u w:val="single"/>
          <w:lang w:val="en-US" w:eastAsia="zh-CN"/>
        </w:rPr>
        <w:t xml:space="preserve">≥</w:t>
      </w:r>
      <w:r>
        <w:rPr>
          <w:rStyle w:val="856"/>
          <w:rFonts w:hint="eastAsia" w:ascii="宋体" w:hAnsi="宋体" w:eastAsia="宋体" w:cs="宋体"/>
          <w:b w:val="0"/>
          <w:bCs/>
          <w:i/>
          <w:iCs/>
          <w:color w:val="auto"/>
          <w:sz w:val="24"/>
          <w:szCs w:val="24"/>
          <w:highlight w:val="none"/>
          <w:u w:val="single"/>
          <w:lang w:val="en-US" w:eastAsia="zh-CN"/>
        </w:rPr>
        <w:t xml:space="preserve">3年</w:t>
      </w:r>
      <w:r>
        <w:rPr>
          <w:rStyle w:val="856"/>
          <w:rFonts w:hint="eastAsia" w:ascii="宋体" w:hAnsi="宋体" w:cs="宋体"/>
          <w:b w:val="0"/>
          <w:bCs/>
          <w:i/>
          <w:iCs/>
          <w:color w:val="auto"/>
          <w:sz w:val="24"/>
          <w:szCs w:val="24"/>
          <w:highlight w:val="none"/>
          <w:u w:val="single"/>
          <w:lang w:val="en-US" w:eastAsia="zh-CN"/>
        </w:rPr>
        <w:t xml:space="preserve">。（提供承诺函，格式自拟）</w:t>
      </w:r>
      <w:r/>
    </w:p>
    <w:p>
      <w:pPr>
        <w:ind w:firstLine="482"/>
        <w:jc w:val="both"/>
        <w:keepLines w:val="0"/>
        <w:keepNext w:val="0"/>
        <w:pageBreakBefore w:val="0"/>
        <w:spacing w:line="360" w:lineRule="auto"/>
        <w:widowControl w:val="off"/>
        <w:rPr>
          <w:rFonts w:hint="default" w:ascii="宋体" w:hAnsi="宋体" w:eastAsia="宋体" w:cs="宋体"/>
          <w:b w:val="0"/>
          <w:bCs/>
          <w:i/>
          <w:iCs/>
          <w:color w:val="auto"/>
          <w:sz w:val="24"/>
          <w:szCs w:val="24"/>
          <w:highlight w:val="none"/>
          <w:u w:val="single"/>
          <w:lang w:val="en-US" w:eastAsia="zh-CN"/>
        </w:rPr>
      </w:pPr>
      <w:r>
        <w:rPr>
          <w:rFonts w:hint="eastAsia" w:ascii="宋体" w:hAnsi="宋体" w:cs="宋体"/>
          <w:b/>
          <w:bCs w:val="0"/>
          <w:i/>
          <w:iCs/>
          <w:color w:val="auto"/>
          <w:sz w:val="24"/>
          <w:szCs w:val="24"/>
          <w:highlight w:val="none"/>
          <w:u w:val="single"/>
          <w:lang w:val="en-US" w:eastAsia="zh-CN"/>
        </w:rPr>
        <w:t xml:space="preserve">6、交付产品：</w:t>
      </w:r>
      <w:r>
        <w:rPr>
          <w:rFonts w:hint="eastAsia" w:ascii="宋体" w:hAnsi="宋体" w:cs="宋体"/>
          <w:b w:val="0"/>
          <w:bCs/>
          <w:i/>
          <w:iCs/>
          <w:color w:val="auto"/>
          <w:sz w:val="24"/>
          <w:szCs w:val="24"/>
          <w:highlight w:val="none"/>
          <w:u w:val="single"/>
          <w:lang w:val="en-US" w:eastAsia="zh-CN"/>
        </w:rPr>
        <w:t xml:space="preserve">实际交付产品应为交货日期前6个月内生产的全新机器，不接受库存机。</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履约能力</w:t>
      </w:r>
      <w:r/>
    </w:p>
    <w:p>
      <w:pPr>
        <w:pStyle w:val="854"/>
        <w:ind w:firstLine="482"/>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为了确保项目的顺利实施，投标人需具备丰富的所投产品设备承接经验，确保本项目的顺利实施，投标人（或代理商、厂商）提供自2022年1月1日（含）以来具有类似项目业绩的优先。</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五、免费质量保修期</w:t>
      </w:r>
      <w:r/>
    </w:p>
    <w:p>
      <w:pPr>
        <w:pStyle w:val="854"/>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投标人在满足项目需求最低质量保修期</w:t>
      </w:r>
      <w:r>
        <w:rPr>
          <w:rFonts w:hint="eastAsia"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年基础上，增加免费质量保修期的优先。免费质量保修期间产生的所有保修相关费用（</w:t>
      </w:r>
      <w:r>
        <w:rPr>
          <w:rFonts w:hint="eastAsia" w:hAnsi="宋体" w:cs="宋体"/>
          <w:bCs/>
          <w:color w:val="auto"/>
          <w:sz w:val="24"/>
          <w:szCs w:val="24"/>
          <w:highlight w:val="none"/>
          <w:lang w:val="en-US" w:eastAsia="zh-CN"/>
        </w:rPr>
        <w:t xml:space="preserve">包含</w:t>
      </w:r>
      <w:r>
        <w:rPr>
          <w:rFonts w:hint="eastAsia" w:ascii="宋体" w:hAnsi="宋体" w:eastAsia="宋体" w:cs="宋体"/>
          <w:bCs/>
          <w:color w:val="auto"/>
          <w:sz w:val="24"/>
          <w:szCs w:val="24"/>
          <w:highlight w:val="none"/>
          <w:lang w:val="en-US" w:eastAsia="zh-CN"/>
        </w:rPr>
        <w:t xml:space="preserve">人工费、备品备件、耗材、服务费、税金以及保修期间涉及到的其他一切费用）应全部由投标人承担。</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六、人员配备</w:t>
      </w:r>
      <w:r/>
    </w:p>
    <w:p>
      <w:pPr>
        <w:ind w:firstLine="480"/>
        <w:keepLines w:val="0"/>
        <w:keepNext w:val="0"/>
        <w:pageBreakBefore w:val="0"/>
        <w:spacing w:line="360" w:lineRule="auto"/>
        <w:widowControl w:val="off"/>
        <w:rPr>
          <w:rFonts w:hint="default" w:ascii="宋体" w:hAnsi="宋体" w:eastAsia="宋体" w:cs="宋体"/>
          <w:b/>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为了确保项目的顺利实施，</w:t>
      </w:r>
      <w:r>
        <w:rPr>
          <w:rFonts w:hint="eastAsia" w:ascii="宋体" w:hAnsi="宋体" w:eastAsia="宋体" w:cs="宋体"/>
          <w:color w:val="auto"/>
          <w:sz w:val="24"/>
          <w:szCs w:val="24"/>
          <w:highlight w:val="none"/>
        </w:rPr>
        <w:t xml:space="preserve">在项目实施过程中，</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高度重视专业人员的配备工作，确保各个环节都有相应的专业人才进行精准对接和高效执行。</w:t>
      </w:r>
      <w:r>
        <w:rPr>
          <w:rFonts w:hint="eastAsia" w:ascii="宋体" w:hAnsi="宋体" w:eastAsia="宋体" w:cs="宋体"/>
          <w:bCs/>
          <w:color w:val="auto"/>
          <w:sz w:val="24"/>
          <w:szCs w:val="24"/>
          <w:highlight w:val="none"/>
        </w:rPr>
        <w:t xml:space="preserve">投标人</w:t>
      </w:r>
      <w:r>
        <w:rPr>
          <w:rFonts w:hint="eastAsia" w:ascii="宋体" w:hAnsi="宋体" w:eastAsia="宋体" w:cs="宋体"/>
          <w:bCs/>
          <w:color w:val="auto"/>
          <w:sz w:val="24"/>
          <w:szCs w:val="24"/>
          <w:highlight w:val="none"/>
          <w:lang w:val="en-US" w:eastAsia="zh-CN"/>
        </w:rPr>
        <w:t xml:space="preserve">为本项目配备丰富</w:t>
      </w:r>
      <w:r>
        <w:rPr>
          <w:rFonts w:hint="eastAsia" w:ascii="宋体" w:hAnsi="宋体" w:eastAsia="宋体" w:cs="宋体"/>
          <w:bCs/>
          <w:color w:val="auto"/>
          <w:sz w:val="24"/>
          <w:szCs w:val="24"/>
          <w:highlight w:val="none"/>
        </w:rPr>
        <w:t xml:space="preserve">的管理人员、技术人员、安装调试人员等</w:t>
      </w:r>
      <w:r>
        <w:rPr>
          <w:rFonts w:hint="eastAsia" w:ascii="宋体" w:hAnsi="宋体" w:eastAsia="宋体" w:cs="宋体"/>
          <w:bCs/>
          <w:color w:val="auto"/>
          <w:sz w:val="24"/>
          <w:szCs w:val="24"/>
          <w:highlight w:val="none"/>
          <w:lang w:val="en-US" w:eastAsia="zh-CN"/>
        </w:rPr>
        <w:t xml:space="preserve">服务团队，至少包含：管理人员2名，负责本项目的整体协调、进度控制及质量管理；技术人员</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名，负责技术支持、临床培训及系统操作指导；安装调试人员</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名，负责本项目设备的安装、管线施工及设备精准调试。</w:t>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jc w:val="both"/>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七、技术方案</w:t>
      </w:r>
      <w:r/>
    </w:p>
    <w:p>
      <w:pPr>
        <w:ind w:firstLine="482"/>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投标人应根据采购需求和本项目实际，制订相应的方案：</w:t>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7.1.项目实施方案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投标人应根据采购需求和本项目实际，制订相应的项目实施方案至少包含以下内容：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①进度保障措施：</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投标单位需制定详细的项目实施时间表，进度计划分解到各阶段时间点，明确各阶段工作内容及时间节点。项目整体周期不超过</w:t>
      </w:r>
      <w:r>
        <w:rPr>
          <w:rFonts w:hint="eastAsia" w:ascii="宋体" w:hAnsi="宋体" w:cs="宋体"/>
          <w:color w:val="auto"/>
          <w:sz w:val="24"/>
          <w:szCs w:val="24"/>
          <w:highlight w:val="none"/>
          <w:lang w:val="en-US" w:eastAsia="zh-CN"/>
        </w:rPr>
        <w:t xml:space="preserve">60日</w:t>
      </w:r>
      <w:r>
        <w:rPr>
          <w:rFonts w:hint="eastAsia" w:ascii="宋体" w:hAnsi="宋体" w:eastAsia="宋体" w:cs="宋体"/>
          <w:color w:val="auto"/>
          <w:sz w:val="24"/>
          <w:szCs w:val="24"/>
          <w:highlight w:val="none"/>
          <w:lang w:val="en-US" w:eastAsia="zh-CN"/>
        </w:rPr>
        <w:t xml:space="preserve">，从合同签订之日起计算。</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②供货</w:t>
      </w:r>
      <w:r>
        <w:rPr>
          <w:rFonts w:hint="eastAsia" w:ascii="宋体" w:hAnsi="宋体" w:cs="宋体"/>
          <w:color w:val="auto"/>
          <w:sz w:val="24"/>
          <w:szCs w:val="24"/>
          <w:highlight w:val="none"/>
          <w:lang w:val="en-US" w:eastAsia="zh-CN"/>
        </w:rPr>
        <w:t xml:space="preserve">运输</w:t>
      </w:r>
      <w:r>
        <w:rPr>
          <w:rFonts w:hint="eastAsia" w:ascii="宋体" w:hAnsi="宋体" w:eastAsia="宋体" w:cs="宋体"/>
          <w:color w:val="auto"/>
          <w:sz w:val="24"/>
          <w:szCs w:val="24"/>
          <w:highlight w:val="none"/>
          <w:lang w:val="en-US" w:eastAsia="zh-CN"/>
        </w:rPr>
        <w:t xml:space="preserve">方案：</w:t>
      </w:r>
      <w:r/>
    </w:p>
    <w:p>
      <w:pPr>
        <w:pStyle w:val="674"/>
        <w:ind w:firstLine="482"/>
        <w:keepLines w:val="0"/>
        <w:keepNext w:val="0"/>
        <w:pageBreakBefore w:val="0"/>
        <w:spacing w:before="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在发货前 3 天，通知采购人，明确该</w:t>
      </w:r>
      <w:r>
        <w:rPr>
          <w:rFonts w:hint="eastAsia" w:ascii="宋体" w:hAnsi="宋体" w:eastAsia="宋体" w:cs="宋体"/>
          <w:color w:val="auto"/>
          <w:sz w:val="24"/>
          <w:szCs w:val="24"/>
          <w:highlight w:val="none"/>
          <w:shd w:val="clear" w:color="auto" w:fill="ffffff"/>
          <w:lang w:val="en-US" w:eastAsia="zh-CN"/>
        </w:rPr>
        <w:t xml:space="preserve">设备品牌、型号</w:t>
      </w:r>
      <w:r>
        <w:rPr>
          <w:rFonts w:hint="eastAsia" w:ascii="宋体" w:hAnsi="宋体" w:eastAsia="宋体" w:cs="宋体"/>
          <w:color w:val="auto"/>
          <w:sz w:val="24"/>
          <w:szCs w:val="24"/>
          <w:highlight w:val="none"/>
          <w:shd w:val="clear" w:color="auto" w:fill="ffffff"/>
        </w:rPr>
        <w:t xml:space="preserve">、数量、预计到货时间、运输车辆信息（车牌号、司机联系方式）</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同时</w:t>
      </w:r>
      <w:r>
        <w:rPr>
          <w:rFonts w:hint="eastAsia" w:ascii="宋体" w:hAnsi="宋体" w:eastAsia="宋体" w:cs="宋体"/>
          <w:color w:val="auto"/>
          <w:sz w:val="24"/>
          <w:szCs w:val="24"/>
          <w:highlight w:val="none"/>
          <w:shd w:val="clear" w:color="auto" w:fill="ffffff"/>
          <w:lang w:val="en-US" w:eastAsia="zh-CN"/>
        </w:rPr>
        <w:t xml:space="preserve">提供</w:t>
      </w:r>
      <w:r>
        <w:rPr>
          <w:rFonts w:hint="eastAsia" w:ascii="宋体" w:hAnsi="宋体" w:eastAsia="宋体" w:cs="宋体"/>
          <w:color w:val="auto"/>
          <w:sz w:val="24"/>
          <w:szCs w:val="24"/>
          <w:highlight w:val="none"/>
          <w:shd w:val="clear" w:color="auto" w:fill="ffffff"/>
        </w:rPr>
        <w:t xml:space="preserve">交付</w:t>
      </w:r>
      <w:r>
        <w:rPr>
          <w:rFonts w:hint="eastAsia" w:ascii="宋体" w:hAnsi="宋体" w:eastAsia="宋体" w:cs="宋体"/>
          <w:color w:val="auto"/>
          <w:sz w:val="24"/>
          <w:szCs w:val="24"/>
          <w:highlight w:val="none"/>
          <w:shd w:val="clear" w:color="auto" w:fill="ffffff"/>
          <w:lang w:val="en-US" w:eastAsia="zh-CN"/>
        </w:rPr>
        <w:t xml:space="preserve">核对</w:t>
      </w:r>
      <w:r>
        <w:rPr>
          <w:rFonts w:hint="eastAsia" w:ascii="宋体" w:hAnsi="宋体" w:eastAsia="宋体" w:cs="宋体"/>
          <w:color w:val="auto"/>
          <w:sz w:val="24"/>
          <w:szCs w:val="24"/>
          <w:highlight w:val="none"/>
          <w:shd w:val="clear" w:color="auto" w:fill="ffffff"/>
        </w:rPr>
        <w:t xml:space="preserve">清单</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格式自拟</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包含</w:t>
      </w:r>
      <w:r>
        <w:rPr>
          <w:rFonts w:hint="eastAsia" w:ascii="宋体" w:hAnsi="宋体" w:eastAsia="宋体" w:cs="宋体"/>
          <w:color w:val="auto"/>
          <w:sz w:val="24"/>
          <w:szCs w:val="24"/>
          <w:highlight w:val="none"/>
          <w:shd w:val="clear" w:color="auto" w:fill="ffffff"/>
          <w:lang w:val="en-US" w:eastAsia="zh-CN"/>
        </w:rPr>
        <w:t xml:space="preserve">设备</w:t>
      </w:r>
      <w:r>
        <w:rPr>
          <w:rFonts w:hint="eastAsia" w:ascii="宋体" w:hAnsi="宋体" w:eastAsia="宋体" w:cs="宋体"/>
          <w:color w:val="auto"/>
          <w:sz w:val="24"/>
          <w:szCs w:val="24"/>
          <w:highlight w:val="none"/>
          <w:shd w:val="clear" w:color="auto" w:fill="ffffff"/>
        </w:rPr>
        <w:t xml:space="preserve">名称、规格型号、参考图片、数量等，与招标文件采购</w:t>
      </w:r>
      <w:r>
        <w:rPr>
          <w:rFonts w:hint="eastAsia" w:ascii="宋体" w:hAnsi="宋体" w:eastAsia="宋体" w:cs="宋体"/>
          <w:color w:val="auto"/>
          <w:sz w:val="24"/>
          <w:szCs w:val="24"/>
          <w:highlight w:val="none"/>
          <w:shd w:val="clear" w:color="auto" w:fill="ffffff"/>
          <w:lang w:val="en-US" w:eastAsia="zh-CN"/>
        </w:rPr>
        <w:t xml:space="preserve">需求</w:t>
      </w:r>
      <w:r>
        <w:rPr>
          <w:rFonts w:hint="eastAsia" w:ascii="宋体" w:hAnsi="宋体" w:eastAsia="宋体" w:cs="宋体"/>
          <w:color w:val="auto"/>
          <w:sz w:val="24"/>
          <w:szCs w:val="24"/>
          <w:highlight w:val="none"/>
          <w:shd w:val="clear" w:color="auto" w:fill="ffffff"/>
        </w:rPr>
        <w:t xml:space="preserve">一致，协助采购人提前协调场地（如卸货区、</w:t>
      </w:r>
      <w:r>
        <w:rPr>
          <w:rFonts w:hint="eastAsia" w:ascii="宋体" w:hAnsi="宋体" w:eastAsia="宋体" w:cs="宋体"/>
          <w:color w:val="auto"/>
          <w:sz w:val="24"/>
          <w:szCs w:val="24"/>
          <w:highlight w:val="none"/>
          <w:shd w:val="clear" w:color="auto" w:fill="ffffff"/>
          <w:lang w:val="en-US" w:eastAsia="zh-CN"/>
        </w:rPr>
        <w:t xml:space="preserve">临时</w:t>
      </w:r>
      <w:r>
        <w:rPr>
          <w:rFonts w:hint="eastAsia" w:ascii="宋体" w:hAnsi="宋体" w:eastAsia="宋体" w:cs="宋体"/>
          <w:color w:val="auto"/>
          <w:sz w:val="24"/>
          <w:szCs w:val="24"/>
          <w:highlight w:val="none"/>
          <w:shd w:val="clear" w:color="auto" w:fill="ffffff"/>
        </w:rPr>
        <w:t xml:space="preserve">仓储区</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安装区</w:t>
      </w:r>
      <w:r>
        <w:rPr>
          <w:rFonts w:hint="eastAsia" w:ascii="宋体" w:hAnsi="宋体" w:eastAsia="宋体" w:cs="宋体"/>
          <w:color w:val="auto"/>
          <w:sz w:val="24"/>
          <w:szCs w:val="24"/>
          <w:highlight w:val="none"/>
          <w:shd w:val="clear" w:color="auto" w:fill="ffffff"/>
        </w:rPr>
        <w:t xml:space="preserve">）及接货人员。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③设备验收：</w:t>
      </w:r>
      <w:r/>
    </w:p>
    <w:p>
      <w:pPr>
        <w:pStyle w:val="674"/>
        <w:ind w:firstLine="480"/>
        <w:keepLines w:val="0"/>
        <w:keepNext w:val="0"/>
        <w:pageBreakBefore w:val="0"/>
        <w:spacing w:before="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协助采购人核对“</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品牌、型号、规格、</w:t>
      </w:r>
      <w:r>
        <w:rPr>
          <w:rFonts w:hint="eastAsia" w:ascii="宋体" w:hAnsi="宋体" w:eastAsia="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数量、外观”，对不符项立即记录并提出整改方案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w:t>
      </w:r>
      <w:r>
        <w:rPr>
          <w:rFonts w:hint="eastAsia" w:ascii="宋体" w:hAnsi="宋体" w:eastAsia="宋体" w:cs="宋体"/>
          <w:color w:val="auto"/>
          <w:sz w:val="24"/>
          <w:szCs w:val="24"/>
          <w:highlight w:val="none"/>
        </w:rPr>
        <w:t xml:space="preserve">免费提供全套资料，含</w:t>
      </w:r>
      <w:r>
        <w:rPr>
          <w:rFonts w:hint="eastAsia" w:ascii="宋体" w:hAnsi="宋体" w:eastAsia="宋体" w:cs="宋体"/>
          <w:color w:val="auto"/>
          <w:sz w:val="24"/>
          <w:szCs w:val="24"/>
          <w:highlight w:val="none"/>
          <w:lang w:val="en-US" w:eastAsia="zh-CN"/>
        </w:rPr>
        <w:t xml:space="preserve">纸质版和电子版各一份，内容</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包括以下方面：设计资料，操作手册，维护手册（包括维修卡），安装手册，主要部件清单，报警及连锁清单，备件手册或备件清单，外购件技术资料，记录和控制卡（装箱单，产品合格证，软件备份，计量仪表鉴定证明，关键部件材质证明，工艺管道的焊接、检测的相关记录和资质，试验记录，试车记录，售后服务联系地址）</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w:t>
      </w:r>
      <w:r/>
    </w:p>
    <w:p>
      <w:pPr>
        <w:numPr>
          <w:ilvl w:val="0"/>
          <w:numId w:val="0"/>
        </w:numPr>
        <w:ind w:firstLine="0"/>
        <w:keepLines w:val="0"/>
        <w:keepNext w:val="0"/>
        <w:pageBreakBefore w:val="0"/>
        <w:spacing w:line="360" w:lineRule="auto"/>
        <w:widowControl w:val="off"/>
        <w:rPr>
          <w:rFonts w:hint="eastAsia" w:ascii="宋体" w:hAnsi="宋体" w:eastAsia="宋体" w:cs="宋体"/>
          <w:b w:val="0"/>
          <w:bCs w:val="0"/>
          <w:color w:val="auto"/>
          <w:sz w:val="8"/>
          <w:szCs w:val="8"/>
          <w:highlight w:val="none"/>
          <w:lang w:val="en-US" w:eastAsia="zh-CN"/>
        </w:rPr>
      </w:pPr>
      <w:r>
        <w:rPr>
          <w:rFonts w:hint="eastAsia" w:ascii="宋体" w:hAnsi="宋体" w:eastAsia="宋体" w:cs="宋体"/>
          <w:b w:val="0"/>
          <w:bCs w:val="0"/>
          <w:color w:val="auto"/>
          <w:sz w:val="8"/>
          <w:szCs w:val="8"/>
          <w:highlight w:val="none"/>
          <w:lang w:val="en-US" w:eastAsia="zh-CN"/>
        </w:rPr>
      </w:r>
      <w:r/>
    </w:p>
    <w:p>
      <w:pPr>
        <w:numPr>
          <w:ilvl w:val="0"/>
          <w:numId w:val="0"/>
        </w:num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7.2.售后服务方案</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投标人应根据采购需求和本项目实际，制订相应的售后服务方案</w:t>
      </w:r>
      <w:r>
        <w:rPr>
          <w:rFonts w:hint="eastAsia" w:ascii="宋体" w:hAnsi="宋体" w:eastAsia="宋体" w:cs="宋体"/>
          <w:color w:val="auto"/>
          <w:sz w:val="24"/>
          <w:szCs w:val="24"/>
          <w:highlight w:val="none"/>
          <w:lang w:val="en-US" w:eastAsia="zh-CN"/>
        </w:rPr>
        <w:t xml:space="preserve">至少包含</w:t>
      </w:r>
      <w:r>
        <w:rPr>
          <w:rFonts w:hint="eastAsia" w:ascii="宋体" w:hAnsi="宋体" w:eastAsia="宋体" w:cs="宋体"/>
          <w:b w:val="0"/>
          <w:bCs w:val="0"/>
          <w:color w:val="auto"/>
          <w:sz w:val="24"/>
          <w:szCs w:val="24"/>
          <w:highlight w:val="none"/>
        </w:rPr>
        <w:t xml:space="preserve">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①售后服务体系：</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需明确售后服务的组织架构、人员配置及服务渠道</w:t>
      </w:r>
      <w:r>
        <w:rPr>
          <w:rFonts w:hint="eastAsia" w:ascii="宋体" w:hAnsi="宋体" w:eastAsia="宋体" w:cs="宋体"/>
          <w:color w:val="auto"/>
          <w:sz w:val="24"/>
          <w:szCs w:val="24"/>
          <w:highlight w:val="none"/>
          <w:lang w:val="en-US" w:eastAsia="zh-CN"/>
        </w:rPr>
        <w:t xml:space="preserve">，在设备出现故障或问题时，售后服务团队能够迅速行动，提供远程诊断或现场服务，</w:t>
      </w:r>
      <w:r>
        <w:rPr>
          <w:rFonts w:hint="eastAsia" w:ascii="宋体" w:hAnsi="宋体" w:eastAsia="宋体" w:cs="宋体"/>
          <w:color w:val="auto"/>
          <w:sz w:val="24"/>
          <w:szCs w:val="24"/>
          <w:highlight w:val="none"/>
        </w:rPr>
        <w:t xml:space="preserve">确保采购人能快速对接、高效解决问题。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②退换货与更换服务</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针对“设备验收不合格”，根据产品质量问题的严重程度，需明确退换货/更换的条件、流程及时效，</w:t>
      </w:r>
      <w:r>
        <w:rPr>
          <w:rFonts w:hint="eastAsia" w:ascii="宋体" w:hAnsi="宋体" w:eastAsia="宋体" w:cs="宋体"/>
          <w:color w:val="auto"/>
          <w:sz w:val="24"/>
          <w:szCs w:val="24"/>
          <w:highlight w:val="none"/>
        </w:rPr>
        <w:t xml:space="preserve">并</w:t>
      </w:r>
      <w:r>
        <w:rPr>
          <w:rFonts w:hint="eastAsia" w:ascii="宋体" w:hAnsi="宋体" w:eastAsia="宋体" w:cs="宋体"/>
          <w:color w:val="auto"/>
          <w:sz w:val="24"/>
          <w:szCs w:val="24"/>
          <w:highlight w:val="none"/>
          <w:lang w:val="en-US" w:eastAsia="zh-CN"/>
        </w:rPr>
        <w:t xml:space="preserve">承诺</w:t>
      </w:r>
      <w:r>
        <w:rPr>
          <w:rFonts w:hint="eastAsia" w:ascii="宋体" w:hAnsi="宋体" w:eastAsia="宋体" w:cs="宋体"/>
          <w:color w:val="auto"/>
          <w:sz w:val="24"/>
          <w:szCs w:val="24"/>
          <w:highlight w:val="none"/>
        </w:rPr>
        <w:t xml:space="preserve">赔偿因此造成的损失。</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③回访巡检方案：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需在设备安装验收后3日内</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进行</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次回访，之后需每季度</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回访1次，有问题做到及时处理；每半年</w:t>
      </w:r>
      <w:r>
        <w:rPr>
          <w:rFonts w:hint="eastAsia" w:ascii="宋体" w:hAnsi="宋体" w:cs="宋体"/>
          <w:color w:val="auto"/>
          <w:sz w:val="24"/>
          <w:szCs w:val="24"/>
          <w:highlight w:val="none"/>
          <w:lang w:val="en-US" w:eastAsia="zh-CN"/>
        </w:rPr>
        <w:t xml:space="preserve">至少</w:t>
      </w:r>
      <w:r>
        <w:rPr>
          <w:rFonts w:hint="eastAsia" w:ascii="宋体" w:hAnsi="宋体" w:eastAsia="宋体" w:cs="宋体"/>
          <w:color w:val="auto"/>
          <w:sz w:val="24"/>
          <w:szCs w:val="24"/>
          <w:highlight w:val="none"/>
          <w:lang w:val="en-US" w:eastAsia="zh-CN"/>
        </w:rPr>
        <w:t xml:space="preserve">到现场做一次设备运行状况安全检查，对设备进行全面巡检，包括设备运行状态检查、性能参数校准、安全隐患排查等，重点关注设备核心部件损耗情况</w:t>
      </w:r>
      <w:r>
        <w:rPr>
          <w:rFonts w:hint="eastAsia" w:ascii="宋体" w:hAnsi="宋体" w:eastAsia="宋体" w:cs="宋体"/>
          <w:color w:val="auto"/>
          <w:sz w:val="24"/>
          <w:szCs w:val="24"/>
          <w:highlight w:val="none"/>
        </w:rPr>
        <w:t xml:space="preserve">。</w:t>
      </w:r>
      <w:r/>
    </w:p>
    <w:p>
      <w:pPr>
        <w:numPr>
          <w:ilvl w:val="-1"/>
          <w:numId w:val="0"/>
        </w:numPr>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1"/>
          <w:numId w:val="0"/>
        </w:numP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lang w:val="en-US" w:eastAsia="zh-CN"/>
        </w:rPr>
        <w:t xml:space="preserve">投标产品为节能产品的优先。</w:t>
      </w:r>
      <w:r/>
    </w:p>
    <w:p>
      <w:pPr>
        <w:numPr>
          <w:ilvl w:val="-1"/>
          <w:numId w:val="0"/>
        </w:numPr>
        <w:ind w:firstLine="0"/>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numPr>
          <w:ilvl w:val="-1"/>
          <w:numId w:val="0"/>
        </w:numPr>
        <w:ind w:firstLine="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lang w:val="en-US" w:eastAsia="zh-CN"/>
        </w:rPr>
        <w:t xml:space="preserve">投标产品为环境标志产品的优先。</w:t>
      </w:r>
      <w:r/>
    </w:p>
    <w:p>
      <w:pPr>
        <w:ind w:firstLine="0"/>
        <w:jc w:val="both"/>
        <w:keepLines w:val="0"/>
        <w:keepNext w:val="0"/>
        <w:pageBreakBefore w:val="0"/>
        <w:spacing w:line="360" w:lineRule="auto"/>
        <w:widowControl w:val="off"/>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r>
      <w:r/>
    </w:p>
    <w:p>
      <w:pPr>
        <w:ind w:firstLine="0"/>
        <w:jc w:val="both"/>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lang w:val="en-US" w:eastAsia="zh-CN"/>
        </w:rPr>
        <w:t xml:space="preserve">、采购标的对应的中小企业划分标准所属行业一览表</w:t>
      </w:r>
      <w:r/>
    </w:p>
    <w:p>
      <w:pPr>
        <w:ind w:firstLine="0"/>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tbl>
      <w:tblPr>
        <w:tblStyle w:val="671"/>
        <w:tblW w:w="500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5388"/>
        <w:gridCol w:w="3752"/>
      </w:tblGrid>
      <w:tr>
        <w:trPr>
          <w:jc w:val="center"/>
          <w:trHeight w:val="635"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706"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采购标的</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884"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对应中小企业划分标准所属行业</w:t>
            </w:r>
            <w:r/>
          </w:p>
        </w:tc>
      </w:tr>
      <w:tr>
        <w:trPr>
          <w:jc w:val="center"/>
          <w:trHeight w:val="1103" w:hRule="exact"/>
        </w:trPr>
        <w:tc>
          <w:tcPr>
            <w:tcBorders>
              <w:left w:val="single" w:color="000000" w:sz="8" w:space="0"/>
              <w:bottom w:val="single" w:color="000000" w:sz="8" w:space="0"/>
              <w:right w:val="single" w:color="000000" w:sz="8" w:space="0"/>
            </w:tcBorders>
            <w:tcMar>
              <w:left w:w="108" w:type="dxa"/>
              <w:top w:w="0" w:type="dxa"/>
              <w:right w:w="108" w:type="dxa"/>
              <w:bottom w:w="0" w:type="dxa"/>
            </w:tcMar>
            <w:tcW w:w="410"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1</w:t>
            </w:r>
            <w:r/>
          </w:p>
        </w:tc>
        <w:tc>
          <w:tcPr>
            <w:tcBorders>
              <w:bottom w:val="single" w:color="000000" w:sz="8" w:space="0"/>
              <w:right w:val="single" w:color="000000" w:sz="8" w:space="0"/>
            </w:tcBorders>
            <w:tcMar>
              <w:left w:w="108" w:type="dxa"/>
              <w:top w:w="0" w:type="dxa"/>
              <w:right w:w="108" w:type="dxa"/>
              <w:bottom w:w="0" w:type="dxa"/>
            </w:tcMar>
            <w:tcW w:w="2706" w:type="pct"/>
            <w:vAlign w:val="top"/>
            <w:textDirection w:val="lrTb"/>
            <w:noWrap w:val="false"/>
          </w:tcPr>
          <w:p>
            <w:pPr>
              <w:jc w:val="center"/>
              <w:spacing w:before="240" w:after="240" w:line="360" w:lineRule="auto"/>
              <w:rPr>
                <w:rFonts w:hint="default"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eastAsia="zh-CN"/>
              </w:rPr>
              <w:t xml:space="preserve"> 盐城市中医院美容科医用激光仪器采购项目</w:t>
            </w:r>
            <w:r>
              <w:rPr>
                <w:rFonts w:hint="eastAsia" w:ascii="宋体" w:hAnsi="宋体" w:cs="宋体"/>
                <w:b w:val="0"/>
                <w:bCs w:val="0"/>
                <w:color w:val="auto"/>
                <w:sz w:val="24"/>
                <w:szCs w:val="24"/>
                <w:highlight w:val="none"/>
                <w:lang w:val="en-US" w:eastAsia="zh-CN"/>
              </w:rPr>
              <w:t xml:space="preserve">中所有产品的标的</w:t>
            </w:r>
            <w:r/>
          </w:p>
          <w:p>
            <w:pPr>
              <w:jc w:val="center"/>
              <w:spacing w:before="240" w:after="240" w:line="360" w:lineRule="auto"/>
              <w:rPr>
                <w:rFonts w:hint="eastAsia" w:ascii="宋体" w:hAnsi="宋体" w:cs="宋体"/>
                <w:b w:val="0"/>
                <w:bCs w:val="0"/>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yellow"/>
                <w:lang w:val="en-US" w:eastAsia="zh-CN"/>
              </w:rPr>
            </w:r>
            <w:r/>
          </w:p>
          <w:p>
            <w:pPr>
              <w:jc w:val="center"/>
              <w:spacing w:before="240" w:after="240" w:line="360" w:lineRule="auto"/>
              <w:rPr>
                <w:rFonts w:hint="default" w:ascii="宋体" w:hAnsi="宋体" w:eastAsia="宋体" w:cs="宋体"/>
                <w:b w:val="0"/>
                <w:bCs w:val="0"/>
                <w:color w:val="auto"/>
                <w:sz w:val="24"/>
                <w:szCs w:val="24"/>
                <w:highlight w:val="yellow"/>
                <w:lang w:val="en-US"/>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yellow"/>
                <w:lang w:val="en-US" w:eastAsia="zh-CN"/>
              </w:rPr>
              <w:t xml:space="preserve">有产品</w:t>
            </w:r>
            <w:r/>
          </w:p>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r>
            <w:r/>
          </w:p>
        </w:tc>
        <w:tc>
          <w:tcPr>
            <w:tcBorders>
              <w:bottom w:val="single" w:color="000000" w:sz="8" w:space="0"/>
              <w:right w:val="single" w:color="000000" w:sz="8" w:space="0"/>
            </w:tcBorders>
            <w:tcMar>
              <w:left w:w="108" w:type="dxa"/>
              <w:top w:w="0" w:type="dxa"/>
              <w:right w:w="108" w:type="dxa"/>
              <w:bottom w:w="0" w:type="dxa"/>
            </w:tcMar>
            <w:tcW w:w="1884" w:type="pct"/>
            <w:vAlign w:val="top"/>
            <w:textDirection w:val="lrTb"/>
            <w:noWrap w:val="false"/>
          </w:tcPr>
          <w:p>
            <w:pPr>
              <w:jc w:val="center"/>
              <w:spacing w:before="240" w:after="240" w:line="360" w:lineRule="auto"/>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rPr>
              <w:t xml:space="preserve">工业</w:t>
            </w:r>
            <w:r/>
          </w:p>
        </w:tc>
      </w:tr>
    </w:tbl>
    <w:p>
      <w:pPr>
        <w:ind w:firstLine="0"/>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both"/>
        <w:spacing w:line="360" w:lineRule="auto"/>
        <w:rPr>
          <w:rFonts w:hint="eastAsia" w:ascii="Calibri"/>
          <w:b/>
          <w:color w:val="auto"/>
          <w:sz w:val="44"/>
          <w:szCs w:val="44"/>
          <w:highlight w:val="none"/>
        </w:rPr>
        <w:outlineLvl w:val="0"/>
      </w:pPr>
      <w:r>
        <w:rPr>
          <w:rFonts w:hint="eastAsia" w:ascii="Calibri"/>
          <w:b/>
          <w:color w:val="auto"/>
          <w:sz w:val="44"/>
          <w:szCs w:val="44"/>
          <w:highlight w:val="none"/>
        </w:rPr>
      </w:r>
      <w:r/>
    </w:p>
    <w:p>
      <w:pPr>
        <w:jc w:val="center"/>
        <w:spacing w:line="360" w:lineRule="auto"/>
        <w:rPr>
          <w:rFonts w:hint="eastAsia" w:ascii="黑体" w:eastAsia="黑体"/>
          <w:b/>
          <w:color w:val="auto"/>
          <w:sz w:val="44"/>
          <w:highlight w:val="none"/>
        </w:rPr>
        <w:outlineLvl w:val="0"/>
      </w:pPr>
      <w:r>
        <w:rPr>
          <w:rFonts w:hint="eastAsia" w:ascii="Calibri"/>
          <w:b/>
          <w:color w:val="auto"/>
          <w:sz w:val="44"/>
          <w:szCs w:val="44"/>
          <w:highlight w:val="none"/>
        </w:rPr>
        <w:t xml:space="preserve">第五部分  合同格式及条款</w:t>
      </w:r>
      <w:bookmarkEnd w:id="65"/>
      <w:r/>
      <w:bookmarkEnd w:id="66"/>
      <w:r/>
      <w:bookmarkStart w:id="67" w:name="_Toc8249"/>
      <w:r/>
      <w:bookmarkEnd w:id="67"/>
      <w:r/>
      <w:bookmarkStart w:id="68" w:name="_Toc9956_WPSOffice_Level2"/>
      <w:r/>
      <w:bookmarkEnd w:id="68"/>
      <w:r/>
      <w:bookmarkStart w:id="69" w:name="_Toc1883"/>
      <w:r/>
      <w:bookmarkEnd w:id="69"/>
      <w:r/>
      <w:bookmarkStart w:id="70" w:name="EB92fb24a891e34ea29920d90c75406592"/>
      <w:r/>
      <w:r/>
    </w:p>
    <w:p>
      <w:pPr>
        <w:ind w:firstLine="480"/>
        <w:jc w:val="center"/>
        <w:keepLines w:val="0"/>
        <w:keepNext w:val="0"/>
        <w:pageBreakBefore w:val="0"/>
        <w:spacing w:before="240" w:after="24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以下为中标后签定本项目合同的通用条款，中标人不得提出实质性的修改。</w:t>
      </w:r>
      <w:r/>
    </w:p>
    <w:p>
      <w:pPr>
        <w:jc w:val="center"/>
        <w:keepLines w:val="0"/>
        <w:keepNext w:val="0"/>
        <w:pageBreakBefore w:val="0"/>
        <w:spacing w:before="100" w:beforeAutospacing="1" w:after="100" w:afterAutospacing="1" w:line="360" w:lineRule="auto"/>
        <w:widowControl/>
        <w:rPr>
          <w:rFonts w:hint="eastAsia" w:ascii="宋体" w:hAnsi="宋体" w:eastAsia="宋体" w:cs="宋体"/>
          <w:b/>
          <w:bCs/>
          <w:color w:val="auto"/>
          <w:sz w:val="24"/>
          <w:szCs w:val="24"/>
          <w:highlight w:val="none"/>
          <w:u w:val="single"/>
        </w:rPr>
        <w:outlineLvl w:val="1"/>
      </w:pPr>
      <w:r>
        <w:rPr>
          <w:rFonts w:hint="eastAsia" w:ascii="宋体" w:hAnsi="宋体" w:eastAsia="宋体" w:cs="宋体"/>
          <w:b/>
          <w:bCs/>
          <w:color w:val="auto"/>
          <w:sz w:val="24"/>
          <w:szCs w:val="24"/>
          <w:highlight w:val="none"/>
        </w:rPr>
        <w:t xml:space="preserve">购  销  合  同</w:t>
      </w:r>
      <w:r/>
    </w:p>
    <w:p>
      <w:pPr>
        <w:ind w:firstLine="540"/>
        <w:keepLines w:val="0"/>
        <w:keepNext w:val="0"/>
        <w:pageBreakBefore w:val="0"/>
        <w:spacing w:before="100" w:beforeAutospacing="1" w:after="100" w:afterAutospacing="1" w:line="360" w:lineRule="auto"/>
        <w:widowControl/>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签订地点：</w:t>
      </w:r>
      <w:r>
        <w:rPr>
          <w:rFonts w:hint="eastAsia" w:ascii="宋体" w:hAnsi="宋体" w:eastAsia="宋体" w:cs="宋体"/>
          <w:b/>
          <w:color w:val="auto"/>
          <w:sz w:val="24"/>
          <w:szCs w:val="24"/>
          <w:highlight w:val="none"/>
          <w:u w:val="single"/>
        </w:rPr>
        <w:t xml:space="preserve">      盐    城           　</w:t>
      </w:r>
      <w:r>
        <w:rPr>
          <w:rFonts w:hint="eastAsia" w:ascii="宋体" w:hAnsi="宋体" w:eastAsia="宋体" w:cs="宋体"/>
          <w:b/>
          <w:color w:val="auto"/>
          <w:sz w:val="24"/>
          <w:szCs w:val="24"/>
          <w:highlight w:val="none"/>
        </w:rPr>
        <w:t xml:space="preserve">　合同编号：</w:t>
      </w:r>
      <w:r>
        <w:rPr>
          <w:rFonts w:hint="eastAsia" w:ascii="宋体" w:hAnsi="宋体" w:eastAsia="宋体" w:cs="宋体"/>
          <w:b/>
          <w:color w:val="auto"/>
          <w:sz w:val="24"/>
          <w:szCs w:val="24"/>
          <w:highlight w:val="none"/>
          <w:u w:val="single"/>
        </w:rPr>
        <w:t xml:space="preserve">                    </w:t>
      </w:r>
      <w:r/>
    </w:p>
    <w:p>
      <w:pPr>
        <w:ind w:firstLine="48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购货单位</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盐城市中医院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（以下简称甲方）（盖章）  </w:t>
      </w:r>
      <w:r/>
    </w:p>
    <w:p>
      <w:pPr>
        <w:ind w:firstLine="480"/>
        <w:jc w:val="left"/>
        <w:keepLines w:val="0"/>
        <w:keepNext w:val="0"/>
        <w:pageBreakBefore w:val="0"/>
        <w:spacing w:before="100" w:beforeAutospacing="1" w:after="100" w:afterAutospacing="1"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供货单位</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（以下简称乙方）（盖章）</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根据《中华人民共和国民法典》，经双方协商，本着平等互利、协商一致的原则，签订本同： </w:t>
      </w:r>
      <w:r/>
    </w:p>
    <w:p>
      <w:pPr>
        <w:ind w:firstLine="420"/>
        <w:keepLines w:val="0"/>
        <w:keepNext w:val="0"/>
        <w:pageBreakBefore w:val="0"/>
        <w:spacing w:line="360" w:lineRule="auto"/>
        <w:rPr>
          <w:rStyle w:val="857"/>
          <w:rFonts w:hint="eastAsia" w:ascii="宋体" w:hAnsi="宋体" w:eastAsia="宋体" w:cs="宋体"/>
          <w:b/>
          <w:color w:val="auto"/>
          <w:sz w:val="24"/>
          <w:szCs w:val="24"/>
          <w:highlight w:val="none"/>
        </w:rPr>
        <w:outlineLvl w:val="1"/>
      </w:pPr>
      <w:r>
        <w:rPr>
          <w:rStyle w:val="857"/>
          <w:rFonts w:hint="eastAsia" w:ascii="宋体" w:hAnsi="宋体" w:eastAsia="宋体" w:cs="宋体"/>
          <w:b/>
          <w:color w:val="auto"/>
          <w:sz w:val="24"/>
          <w:szCs w:val="24"/>
          <w:highlight w:val="none"/>
        </w:rPr>
        <w:t xml:space="preserve">第一条 商品的名称、种类、规格、数量及价款</w:t>
      </w:r>
      <w:r/>
    </w:p>
    <w:tbl>
      <w:tblPr>
        <w:tblStyle w:val="671"/>
        <w:tblW w:w="9530" w:type="dxa"/>
        <w:jc w:val="center"/>
        <w:tblCellSpacing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82"/>
        <w:gridCol w:w="1404"/>
        <w:gridCol w:w="1447"/>
        <w:gridCol w:w="946"/>
        <w:gridCol w:w="731"/>
        <w:gridCol w:w="1290"/>
        <w:gridCol w:w="1830"/>
      </w:tblGrid>
      <w:tr>
        <w:trPr>
          <w:jc w:val="center"/>
          <w:tblCellSpacing w:w="0" w:type="dxa"/>
          <w:trHeight w:val="701" w:hRule="exact"/>
        </w:trPr>
        <w:tc>
          <w:tcPr>
            <w:tcW w:w="1882"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Style w:val="857"/>
                <w:rFonts w:hint="eastAsia" w:ascii="宋体" w:hAnsi="宋体" w:eastAsia="宋体" w:cs="宋体"/>
                <w:color w:val="auto"/>
                <w:sz w:val="24"/>
                <w:szCs w:val="24"/>
                <w:highlight w:val="none"/>
              </w:rPr>
              <w:t xml:space="preserve">商品</w:t>
            </w:r>
            <w:r>
              <w:rPr>
                <w:rFonts w:hint="eastAsia" w:ascii="宋体" w:hAnsi="宋体" w:eastAsia="宋体" w:cs="宋体"/>
                <w:color w:val="auto"/>
                <w:sz w:val="24"/>
                <w:szCs w:val="24"/>
                <w:highlight w:val="none"/>
              </w:rPr>
              <w:t xml:space="preserve">名称</w:t>
            </w:r>
            <w:r/>
          </w:p>
        </w:tc>
        <w:tc>
          <w:tcPr>
            <w:tcW w:w="1404"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1447"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946"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31"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29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83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金额（元）</w:t>
            </w:r>
            <w:r/>
          </w:p>
        </w:tc>
      </w:tr>
      <w:tr>
        <w:trPr>
          <w:jc w:val="center"/>
          <w:tblCellSpacing w:w="0" w:type="dxa"/>
          <w:trHeight w:val="579"/>
        </w:trPr>
        <w:tc>
          <w:tcPr>
            <w:tcW w:w="1882"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4"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7"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6"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1"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0" w:type="dxa"/>
            <w:vAlign w:val="center"/>
            <w:textDirection w:val="lrTb"/>
            <w:noWrap w:val="false"/>
          </w:tcPr>
          <w:p>
            <w:pPr>
              <w:ind w:left="480" w:hanging="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blCellSpacing w:w="0" w:type="dxa"/>
          <w:trHeight w:val="584"/>
        </w:trPr>
        <w:tc>
          <w:tcPr>
            <w:gridSpan w:val="7"/>
            <w:tcW w:w="9530" w:type="dxa"/>
            <w:vAlign w:val="center"/>
            <w:textDirection w:val="lrTb"/>
            <w:noWrap w:val="false"/>
          </w:tcPr>
          <w:p>
            <w:pPr>
              <w:ind w:left="480" w:hanging="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合计人民币金额：￥   元                   （大写）： </w:t>
            </w:r>
            <w:r/>
          </w:p>
        </w:tc>
      </w:tr>
    </w:tbl>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说明：本合同金额包括但不限于商品的价格、包装费、装卸费、运输费、人工费、增值税金、管理费、税金等乙方为完成本合同约定内容所要的所有费用。合同期限内，合同价款不因任何因素予以调整。</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备注：详见配置清单</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第二条 交货方式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1、交货时间：</w:t>
      </w:r>
      <w:bookmarkStart w:id="71" w:name="OLE_LINK3"/>
      <w:r>
        <w:rPr>
          <w:rFonts w:hint="eastAsia" w:ascii="宋体" w:hAnsi="宋体" w:eastAsia="宋体" w:cs="宋体"/>
          <w:color w:val="auto"/>
          <w:sz w:val="24"/>
          <w:szCs w:val="24"/>
          <w:highlight w:val="none"/>
        </w:rPr>
        <w:t xml:space="preserve">自甲方通知之日起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w:t>
      </w:r>
      <w:bookmarkEnd w:id="71"/>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2、乙方负责将设备安全运至甲方指定地点，经甲方验收交付之前设备的毁损、灭失风险及运输费用由乙方承担。乙方负责产品的包装，包装应确保货物安全，装卸、运输方便，由此产生的费用由乙方承担。</w:t>
      </w:r>
      <w:r/>
    </w:p>
    <w:p>
      <w:pPr>
        <w:ind w:left="420"/>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第三条 售后质量保证、安全和服务承诺</w:t>
      </w:r>
      <w:r/>
    </w:p>
    <w:p>
      <w:pPr>
        <w:ind w:firstLine="480"/>
        <w:keepLines w:val="0"/>
        <w:keepNext w:val="0"/>
        <w:pageBreakBefore w:val="0"/>
        <w:spacing w:line="360" w:lineRule="auto"/>
        <w:rPr>
          <w:rStyle w:val="858"/>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w:t>
      </w:r>
      <w:r>
        <w:rPr>
          <w:rStyle w:val="858"/>
          <w:rFonts w:hint="eastAsia" w:ascii="宋体" w:hAnsi="宋体" w:eastAsia="宋体" w:cs="宋体"/>
          <w:color w:val="auto"/>
          <w:sz w:val="24"/>
          <w:szCs w:val="24"/>
          <w:highlight w:val="none"/>
        </w:rPr>
        <w:t xml:space="preserve">保证所售出货物符合国家规定的质量、包装等要求。</w:t>
      </w:r>
      <w:r/>
    </w:p>
    <w:p>
      <w:pPr>
        <w:ind w:firstLine="480"/>
        <w:keepLines w:val="0"/>
        <w:keepNext w:val="0"/>
        <w:pageBreakBefore w:val="0"/>
        <w:spacing w:line="360" w:lineRule="auto"/>
        <w:rPr>
          <w:rStyle w:val="858"/>
          <w:rFonts w:hint="eastAsia" w:ascii="宋体" w:hAnsi="宋体" w:eastAsia="宋体" w:cs="宋体"/>
          <w:color w:val="auto"/>
          <w:sz w:val="24"/>
          <w:szCs w:val="24"/>
          <w:highlight w:val="none"/>
        </w:rPr>
      </w:pPr>
      <w:r>
        <w:rPr>
          <w:rStyle w:val="858"/>
          <w:rFonts w:hint="eastAsia" w:ascii="宋体" w:hAnsi="宋体" w:eastAsia="宋体" w:cs="宋体"/>
          <w:color w:val="auto"/>
          <w:sz w:val="24"/>
          <w:szCs w:val="24"/>
          <w:highlight w:val="none"/>
        </w:rPr>
        <w:t xml:space="preserve">2、除另有约定外，合同范围的商品，应由乙方直接供应，不得转让他人供应。</w:t>
      </w:r>
      <w:r/>
    </w:p>
    <w:p>
      <w:pPr>
        <w:ind w:firstLine="480"/>
        <w:keepLines w:val="0"/>
        <w:keepNext w:val="0"/>
        <w:pageBreakBefore w:val="0"/>
        <w:spacing w:line="360" w:lineRule="auto"/>
        <w:rPr>
          <w:rStyle w:val="858"/>
          <w:rFonts w:hint="eastAsia" w:ascii="宋体" w:hAnsi="宋体" w:eastAsia="宋体" w:cs="宋体"/>
          <w:color w:val="auto"/>
          <w:sz w:val="24"/>
          <w:szCs w:val="24"/>
          <w:highlight w:val="none"/>
        </w:rPr>
      </w:pPr>
      <w:r>
        <w:rPr>
          <w:rStyle w:val="858"/>
          <w:rFonts w:hint="eastAsia" w:ascii="宋体" w:hAnsi="宋体" w:eastAsia="宋体" w:cs="宋体"/>
          <w:color w:val="auto"/>
          <w:sz w:val="24"/>
          <w:szCs w:val="24"/>
          <w:highlight w:val="none"/>
        </w:rPr>
        <w:t xml:space="preserve">3、产品的保修期</w:t>
      </w:r>
      <w:r>
        <w:rPr>
          <w:rFonts w:hint="eastAsia" w:ascii="宋体" w:hAnsi="宋体" w:eastAsia="宋体" w:cs="宋体"/>
          <w:color w:val="auto"/>
          <w:sz w:val="24"/>
          <w:szCs w:val="24"/>
          <w:highlight w:val="none"/>
        </w:rPr>
        <w:t xml:space="preserve">（以验收合格日算起）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年，保修期内免费维修。保修期满后，维修只收取维修配</w:t>
      </w:r>
      <w:r>
        <w:rPr>
          <w:rStyle w:val="858"/>
          <w:rFonts w:hint="eastAsia" w:ascii="宋体" w:hAnsi="宋体" w:eastAsia="宋体" w:cs="宋体"/>
          <w:color w:val="auto"/>
          <w:sz w:val="24"/>
          <w:szCs w:val="24"/>
          <w:highlight w:val="none"/>
        </w:rPr>
        <w:t xml:space="preserve">件的成本费。</w:t>
      </w:r>
      <w:r/>
    </w:p>
    <w:p>
      <w:pPr>
        <w:ind w:firstLine="437"/>
        <w:keepLines w:val="0"/>
        <w:keepNext w:val="0"/>
        <w:pageBreakBefore w:val="0"/>
        <w:spacing w:line="360" w:lineRule="auto"/>
        <w:rPr>
          <w:rStyle w:val="858"/>
          <w:rFonts w:hint="eastAsia" w:ascii="宋体" w:hAnsi="宋体" w:eastAsia="宋体" w:cs="宋体"/>
          <w:color w:val="auto"/>
          <w:sz w:val="24"/>
          <w:szCs w:val="24"/>
          <w:highlight w:val="none"/>
          <w:u w:val="single"/>
        </w:rPr>
      </w:pPr>
      <w:r>
        <w:rPr>
          <w:rStyle w:val="858"/>
          <w:rFonts w:hint="eastAsia" w:ascii="宋体" w:hAnsi="宋体" w:eastAsia="宋体" w:cs="宋体"/>
          <w:color w:val="auto"/>
          <w:sz w:val="24"/>
          <w:szCs w:val="24"/>
          <w:highlight w:val="none"/>
        </w:rPr>
        <w:t xml:space="preserve">4、售后服务响应时间：</w:t>
      </w:r>
      <w:r>
        <w:rPr>
          <w:rStyle w:val="858"/>
          <w:rFonts w:hint="eastAsia" w:ascii="宋体" w:hAnsi="宋体" w:eastAsia="宋体" w:cs="宋体"/>
          <w:color w:val="auto"/>
          <w:sz w:val="24"/>
          <w:szCs w:val="24"/>
          <w:highlight w:val="none"/>
          <w:u w:val="single"/>
        </w:rPr>
        <w:t xml:space="preserve">   24小时   </w:t>
      </w:r>
      <w:r/>
    </w:p>
    <w:p>
      <w:pPr>
        <w:ind w:firstLine="437"/>
        <w:keepLines w:val="0"/>
        <w:keepNext w:val="0"/>
        <w:pageBreakBefore w:val="0"/>
        <w:spacing w:line="360" w:lineRule="auto"/>
        <w:rPr>
          <w:rStyle w:val="858"/>
          <w:rFonts w:hint="eastAsia" w:ascii="宋体" w:hAnsi="宋体" w:eastAsia="宋体" w:cs="宋体"/>
          <w:color w:val="auto"/>
          <w:sz w:val="24"/>
          <w:szCs w:val="24"/>
          <w:highlight w:val="none"/>
        </w:rPr>
      </w:pPr>
      <w:r>
        <w:rPr>
          <w:rStyle w:val="858"/>
          <w:rFonts w:hint="eastAsia" w:ascii="宋体" w:hAnsi="宋体" w:eastAsia="宋体" w:cs="宋体"/>
          <w:color w:val="auto"/>
          <w:sz w:val="24"/>
          <w:szCs w:val="24"/>
          <w:highlight w:val="none"/>
        </w:rPr>
        <w:t xml:space="preserve">5、其 他  承 诺：</w:t>
      </w:r>
      <w:r>
        <w:rPr>
          <w:rStyle w:val="858"/>
          <w:rFonts w:hint="eastAsia" w:ascii="宋体" w:hAnsi="宋体" w:eastAsia="宋体" w:cs="宋体"/>
          <w:color w:val="auto"/>
          <w:sz w:val="24"/>
          <w:szCs w:val="24"/>
          <w:highlight w:val="none"/>
          <w:u w:val="single"/>
        </w:rPr>
        <w:t xml:space="preserve">      /      </w:t>
      </w:r>
      <w:r>
        <w:rPr>
          <w:rStyle w:val="858"/>
          <w:rFonts w:hint="eastAsia" w:ascii="宋体" w:hAnsi="宋体" w:eastAsia="宋体" w:cs="宋体"/>
          <w:color w:val="auto"/>
          <w:sz w:val="24"/>
          <w:szCs w:val="24"/>
          <w:highlight w:val="none"/>
        </w:rPr>
        <w:t xml:space="preserve">  </w:t>
      </w:r>
      <w:r/>
    </w:p>
    <w:p>
      <w:pPr>
        <w:ind w:firstLine="482"/>
        <w:jc w:val="left"/>
        <w:keepLines w:val="0"/>
        <w:keepNext w:val="0"/>
        <w:pageBreakBefore w:val="0"/>
        <w:spacing w:line="360" w:lineRule="auto"/>
        <w:widowControl/>
        <w:rPr>
          <w:rStyle w:val="857"/>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第四条 </w:t>
      </w:r>
      <w:r>
        <w:rPr>
          <w:rStyle w:val="857"/>
          <w:rFonts w:hint="eastAsia" w:ascii="宋体" w:hAnsi="宋体" w:eastAsia="宋体" w:cs="宋体"/>
          <w:b/>
          <w:color w:val="auto"/>
          <w:sz w:val="24"/>
          <w:szCs w:val="24"/>
          <w:highlight w:val="none"/>
        </w:rPr>
        <w:t xml:space="preserve">验收与安装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需要安装的设备，由乙方负责设备的安装和调试工作。设备正常运行后由乙方会同甲方的采购、设备及使用部门按规定的标准共同组织验收。不需安装的设备由甲方组织验收。</w:t>
      </w:r>
      <w:r/>
    </w:p>
    <w:p>
      <w:pPr>
        <w:ind w:firstLine="482"/>
        <w:keepLines w:val="0"/>
        <w:keepNext w:val="0"/>
        <w:pageBreakBefore w:val="0"/>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第五条 货款的结算</w:t>
      </w:r>
      <w:r/>
    </w:p>
    <w:p>
      <w:pPr>
        <w:numPr>
          <w:ilvl w:val="0"/>
          <w:numId w:val="0"/>
        </w:numPr>
        <w:ind w:firstLine="480"/>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付款方式：</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第六条 对产品提出异议的时间和办法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1、甲方在验收中，如果发现产品的品种、型号、规格、花色和质量等不符合规定，应及时通知乙方，不需安装的产品在</w:t>
      </w:r>
      <w:r>
        <w:rPr>
          <w:rFonts w:hint="eastAsia" w:ascii="宋体" w:hAnsi="宋体" w:eastAsia="宋体" w:cs="宋体"/>
          <w:color w:val="auto"/>
          <w:sz w:val="24"/>
          <w:szCs w:val="24"/>
          <w:highlight w:val="none"/>
          <w:u w:val="single"/>
        </w:rPr>
        <w:t xml:space="preserve">30日</w:t>
      </w:r>
      <w:r>
        <w:rPr>
          <w:rFonts w:hint="eastAsia" w:ascii="宋体" w:hAnsi="宋体" w:eastAsia="宋体" w:cs="宋体"/>
          <w:color w:val="auto"/>
          <w:sz w:val="24"/>
          <w:szCs w:val="24"/>
          <w:highlight w:val="none"/>
        </w:rPr>
        <w:t xml:space="preserve">内，必须安装临床使用后才能发现内在质量缺陷的产品，从临床使用之日起</w:t>
      </w:r>
      <w:r>
        <w:rPr>
          <w:rFonts w:hint="eastAsia" w:ascii="宋体" w:hAnsi="宋体" w:eastAsia="宋体" w:cs="宋体"/>
          <w:color w:val="auto"/>
          <w:sz w:val="24"/>
          <w:szCs w:val="24"/>
          <w:highlight w:val="none"/>
          <w:u w:val="single"/>
        </w:rPr>
        <w:t xml:space="preserve">6个月</w:t>
      </w:r>
      <w:r>
        <w:rPr>
          <w:rFonts w:hint="eastAsia" w:ascii="宋体" w:hAnsi="宋体" w:eastAsia="宋体" w:cs="宋体"/>
          <w:color w:val="auto"/>
          <w:sz w:val="24"/>
          <w:szCs w:val="24"/>
          <w:highlight w:val="none"/>
        </w:rPr>
        <w:t xml:space="preserve">内向乙方提出书面异议。政府主管部门另有规定的从其规定。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2、乙方在接到甲方书面异议后，应在</w:t>
      </w:r>
      <w:r>
        <w:rPr>
          <w:rFonts w:hint="eastAsia" w:ascii="宋体" w:hAnsi="宋体" w:eastAsia="宋体" w:cs="宋体"/>
          <w:color w:val="auto"/>
          <w:sz w:val="24"/>
          <w:szCs w:val="24"/>
          <w:highlight w:val="none"/>
          <w:u w:val="single"/>
        </w:rPr>
        <w:t xml:space="preserve">10日</w:t>
      </w:r>
      <w:r>
        <w:rPr>
          <w:rFonts w:hint="eastAsia" w:ascii="宋体" w:hAnsi="宋体" w:eastAsia="宋体" w:cs="宋体"/>
          <w:color w:val="auto"/>
          <w:sz w:val="24"/>
          <w:szCs w:val="24"/>
          <w:highlight w:val="none"/>
        </w:rPr>
        <w:t xml:space="preserve">内（另有规定或当事人另行商定期限者除外）负责处理，否则，即视为默认甲方提出的异议和处理意见。</w:t>
      </w:r>
      <w:r/>
    </w:p>
    <w:p>
      <w:pPr>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第七条 违约责任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1、乙方不能按照甲方要求的质量提供本合同规定的产品以及应履行的合同其它义务，甲方在发出违约通知后</w:t>
      </w:r>
      <w:r>
        <w:rPr>
          <w:rFonts w:hint="eastAsia" w:ascii="宋体" w:hAnsi="宋体" w:eastAsia="宋体" w:cs="宋体"/>
          <w:color w:val="auto"/>
          <w:sz w:val="24"/>
          <w:szCs w:val="24"/>
          <w:highlight w:val="none"/>
          <w:u w:val="single"/>
        </w:rPr>
        <w:t xml:space="preserve">3天</w:t>
      </w:r>
      <w:r>
        <w:rPr>
          <w:rFonts w:hint="eastAsia" w:ascii="宋体" w:hAnsi="宋体" w:eastAsia="宋体" w:cs="宋体"/>
          <w:color w:val="auto"/>
          <w:sz w:val="24"/>
          <w:szCs w:val="24"/>
          <w:highlight w:val="none"/>
        </w:rPr>
        <w:t xml:space="preserve">，乙方不能纠正时，甲方可以终止全部或部分合同，终止部分不予支付货款。同时，乙方应向甲方按总货款的</w:t>
      </w:r>
      <w:r>
        <w:rPr>
          <w:rFonts w:hint="eastAsia" w:ascii="宋体" w:hAnsi="宋体" w:eastAsia="宋体" w:cs="宋体"/>
          <w:color w:val="auto"/>
          <w:sz w:val="24"/>
          <w:szCs w:val="24"/>
          <w:highlight w:val="none"/>
          <w:u w:val="single"/>
        </w:rPr>
        <w:t xml:space="preserve"> 20%  </w:t>
      </w:r>
      <w:r>
        <w:rPr>
          <w:rFonts w:hint="eastAsia" w:ascii="宋体" w:hAnsi="宋体" w:eastAsia="宋体" w:cs="宋体"/>
          <w:color w:val="auto"/>
          <w:sz w:val="24"/>
          <w:szCs w:val="24"/>
          <w:highlight w:val="none"/>
        </w:rPr>
        <w:t xml:space="preserve">支付违约金，并赔偿因此造成的损失。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2、乙方所交产品品种、型号、规格、花色质量不符合合同规定的，甲方有权拒绝付款，因此所发生的一切费用损失，由乙方负责。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3、乙方逾期交货或只交付部分货物的，乙方应按合同总额每日千分之</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向甲方支付违约金，由甲方从待付货款中扣除。逾期超过约定日期7个工作日不能交货的，甲方有权解除本合同，乙方不得以任何理由推迟出场。已交货物如甲方决定保留，按照乙方投标文件明细报价表注明价格执行。同时乙方应向甲方支付合同总值20%的违约金，如造成甲方损失超过违约金的，超出部分由乙方继续承担赔偿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4、甲方未按合同规定的时间和要求提供相应的技术资料等，交货日期得以顺延。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自行承担供货期内的设备质量、任何状况下的安全责任。非甲方原因，发生的一切问题和责任与甲方无关，相关一切费用或民事、刑事责任均由乙方自理。若乙方不能及时处理所发生的问题和责任，并且影响到甲方项目进度时，甲方有权处理相关事务，所发生的费用在支付款项时扣除。</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第八条 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1、是否需要缴纳履约保证金：</w:t>
      </w:r>
      <w:bookmarkStart w:id="72" w:name="OLE_LINK1"/>
      <w:r>
        <w:rPr>
          <w:rFonts w:hint="eastAsia" w:ascii="宋体" w:hAnsi="宋体" w:eastAsia="宋体" w:cs="宋体"/>
          <w:color w:val="auto"/>
          <w:sz w:val="24"/>
          <w:szCs w:val="24"/>
          <w:highlight w:val="none"/>
          <w:u w:val="single"/>
        </w:rPr>
        <w:t xml:space="preserve"> 否 </w:t>
      </w:r>
      <w:bookmarkEnd w:id="72"/>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2、如需缴纳履约保证金的，按下列条款执行：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2.1乙方交纳人民币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元作为本合同的履约保证金。待设备安装验收合格后，无息退还履约保证金。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2.2乙方自主选择以支票、汇票、本票或者金融机构、担保机构出具的保函、电子履约保函（保险）等非现金形式提交履约保证金。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如乙方具有AA评级及以上信用等级（需提供信用管理部门备案的第三方信用报告），免收履约保证金。依据《关于在全省政府采购领域推行电子履约保函（保险）的通知》，鼓励供应商自愿使用电子履约保函（保险）代替缴纳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2.4履约保证金的退还：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2.4.1方式：无息退还至投标人缴纳履约保证金的账户。如为保函，在到期时自行失效。</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2.4.2时间：验收合格且采购人收到发票后30日内。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2.4.3条件：按合同要求全部履约完成并经采购人验收合格，且采购人收到中标人出具的发票。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2.4.4不予退还情形：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（1）乙方无正当理由拒绝签订合同的，或者在签订合同时向甲方提出附加条件或者更改合同实质性内容要求的；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（2）乙方不履行与采购人订立的合同的；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（3）乙方所供货物或服务不符合招标文件规定要求的；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（4）乙方采取欺骗、弄虚作假方式投标的或与其它投标人串通投标的；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（5）乙方将合同内容转包、违法分包的；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（6）乙方故意捏造事实或伪造证明材料，进行虚假恶意投诉或反映的。</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2.5逾期退还的违约责任：甲方逾期无故未退还履约保证金的，按中国人民银行同期贷款基准利率上浮20%后的利率支付超期资金占用费，但因供应商自身原因导致无法及时退还的除外。</w:t>
      </w:r>
      <w:r/>
    </w:p>
    <w:p>
      <w:pPr>
        <w:ind w:firstLine="480"/>
        <w:jc w:val="left"/>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第九条 其他</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1、当事人一方因不可抗力的原因不能履行合同时，应当及时通知对方，并在合理期限内提供有关机构出具的证明，可以全部或部分免除该方当事人的违约责任。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在履行中发生争议，由当事人双方协商解决，协商不成时，可申请向甲方所在地人民法院提出诉讼。违约方需承担守约方支出的包括但不限于诉讼费、律师费、鉴定费、差旅费、保全担保费等在内的一切费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3、本合同自双方签字盖章之日起生效。本合同未尽事宜，须经双方共同协商，作出补充规定，其补充规定与本合同有同等法律效力。</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4、本合同一式四份，甲方三份，乙方一份。</w:t>
      </w:r>
      <w:r/>
    </w:p>
    <w:p>
      <w:pPr>
        <w:ind w:firstLine="480"/>
        <w:jc w:val="left"/>
        <w:keepLines w:val="0"/>
        <w:keepNext w:val="0"/>
        <w:pageBreakBefore w:val="0"/>
        <w:spacing w:after="12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购货单位：</w:t>
      </w:r>
      <w:r>
        <w:rPr>
          <w:rFonts w:hint="eastAsia" w:ascii="宋体" w:hAnsi="宋体" w:cs="宋体"/>
          <w:color w:val="auto"/>
          <w:sz w:val="24"/>
          <w:szCs w:val="24"/>
          <w:highlight w:val="none"/>
          <w:u w:val="single"/>
          <w:lang w:eastAsia="zh-CN"/>
        </w:rPr>
        <w:t xml:space="preserve">盐城市中医院</w:t>
      </w:r>
      <w:r>
        <w:rPr>
          <w:rFonts w:hint="eastAsia" w:ascii="宋体" w:hAnsi="宋体" w:eastAsia="宋体" w:cs="宋体"/>
          <w:color w:val="auto"/>
          <w:sz w:val="24"/>
          <w:szCs w:val="24"/>
          <w:highlight w:val="none"/>
        </w:rPr>
        <w:t xml:space="preserve">（盖章）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供货单位：</w:t>
      </w:r>
      <w:r>
        <w:rPr>
          <w:rFonts w:hint="eastAsia" w:ascii="宋体" w:hAnsi="宋体" w:eastAsia="宋体" w:cs="宋体"/>
          <w:color w:val="auto"/>
          <w:spacing w:val="-2"/>
          <w:sz w:val="24"/>
          <w:szCs w:val="24"/>
          <w:highlight w:val="none"/>
          <w:u w:val="single"/>
        </w:rPr>
        <w:t xml:space="preserve">                </w:t>
      </w:r>
      <w:r>
        <w:rPr>
          <w:rFonts w:hint="eastAsia" w:ascii="宋体" w:hAnsi="宋体" w:eastAsia="宋体" w:cs="宋体"/>
          <w:color w:val="auto"/>
          <w:spacing w:val="-2"/>
          <w:sz w:val="24"/>
          <w:szCs w:val="24"/>
          <w:highlight w:val="none"/>
        </w:rPr>
        <w:t xml:space="preserve">（盖章）</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委托代表人：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委托代表人：</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jc w:val="left"/>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电     话：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开户银行：                     </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统一信用代码：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统一信用代码： </w:t>
      </w:r>
      <w:r/>
    </w:p>
    <w:p>
      <w:pPr>
        <w:ind w:left="900" w:hanging="480"/>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tabs>
          <w:tab w:val="left" w:pos="4500" w:leader="none"/>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    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帐     号：</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rPr>
          <w:rFonts w:hint="eastAsia"/>
          <w:color w:val="auto"/>
          <w:highlight w:val="none"/>
        </w:rPr>
      </w:pPr>
      <w:r>
        <w:rPr>
          <w:rFonts w:hint="eastAsia" w:ascii="宋体" w:hAnsi="宋体" w:eastAsia="宋体" w:cs="宋体"/>
          <w:color w:val="auto"/>
          <w:sz w:val="24"/>
          <w:szCs w:val="24"/>
          <w:highlight w:val="none"/>
        </w:rPr>
        <w:t xml:space="preserve">日    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 </w:t>
      </w:r>
      <w:bookmarkEnd w:id="70"/>
      <w:r/>
    </w:p>
    <w:p>
      <w:pPr>
        <w:pStyle w:val="859"/>
        <w:ind w:firstLine="200"/>
        <w:spacing w:line="360" w:lineRule="auto"/>
        <w:rPr>
          <w:rFonts w:hint="eastAsia" w:hAnsi="宋体"/>
          <w:color w:val="auto"/>
          <w:sz w:val="24"/>
          <w:szCs w:val="24"/>
          <w:highlight w:val="none"/>
        </w:rPr>
      </w:pPr>
      <w:r>
        <w:rPr>
          <w:rFonts w:hint="eastAsia" w:hAnsi="宋体"/>
          <w:color w:val="auto"/>
          <w:sz w:val="24"/>
          <w:szCs w:val="24"/>
          <w:highlight w:val="none"/>
        </w:rPr>
      </w:r>
      <w:r/>
    </w:p>
    <w:p>
      <w:pPr>
        <w:shd w:val="nil"/>
        <w:rPr>
          <w:rFonts w:hint="eastAsia"/>
          <w:b/>
          <w:bCs/>
          <w:color w:val="auto"/>
          <w:sz w:val="44"/>
          <w:szCs w:val="44"/>
          <w:highlight w:val="none"/>
        </w:rPr>
        <w:outlineLvl w:val="0"/>
      </w:pPr>
      <w:r>
        <w:rPr>
          <w:rFonts w:hint="eastAsia"/>
          <w:b/>
          <w:color w:val="auto"/>
          <w:sz w:val="44"/>
          <w:szCs w:val="44"/>
          <w:highlight w:val="none"/>
        </w:rPr>
        <w:br w:type="page" w:clear="all"/>
      </w:r>
      <w:r>
        <w:rPr>
          <w:rFonts w:hint="eastAsia"/>
          <w:b/>
          <w:color w:val="auto"/>
          <w:sz w:val="44"/>
          <w:szCs w:val="44"/>
          <w:highlight w:val="none"/>
        </w:rPr>
      </w:r>
    </w:p>
    <w:p>
      <w:pPr>
        <w:jc w:val="both"/>
        <w:keepLines/>
        <w:keepNext/>
        <w:pageBreakBefore w:val="0"/>
        <w:spacing w:line="360" w:lineRule="auto"/>
        <w:rPr>
          <w:rFonts w:hint="eastAsia"/>
          <w:b/>
          <w:bCs/>
          <w:color w:val="auto"/>
          <w:sz w:val="44"/>
          <w:szCs w:val="44"/>
          <w:highlight w:val="none"/>
        </w:rPr>
        <w:outlineLvl w:val="0"/>
      </w:pPr>
      <w:r/>
      <w:bookmarkStart w:id="73" w:name="_Toc12366"/>
      <w:r/>
      <w:bookmarkStart w:id="74" w:name="_Toc514054483"/>
      <w:r/>
      <w:r/>
    </w:p>
    <w:p>
      <w:pPr>
        <w:jc w:val="center"/>
        <w:keepLines/>
        <w:keepNext/>
        <w:pageBreakBefore w:val="0"/>
        <w:spacing w:line="360" w:lineRule="auto"/>
        <w:rPr>
          <w:rFonts w:hint="eastAsia"/>
          <w:b/>
          <w:color w:val="auto"/>
          <w:sz w:val="44"/>
          <w:szCs w:val="44"/>
          <w:highlight w:val="none"/>
        </w:rPr>
        <w:outlineLvl w:val="0"/>
      </w:pPr>
      <w:r>
        <w:rPr>
          <w:rFonts w:hint="eastAsia"/>
          <w:b/>
          <w:color w:val="auto"/>
          <w:sz w:val="44"/>
          <w:szCs w:val="44"/>
          <w:highlight w:val="none"/>
        </w:rPr>
        <w:t xml:space="preserve">第六部分  投标文件格式</w:t>
      </w:r>
      <w:bookmarkEnd w:id="73"/>
      <w:r/>
      <w:bookmarkEnd w:id="74"/>
      <w:r/>
      <w:r/>
    </w:p>
    <w:p>
      <w:pPr>
        <w:spacing w:line="360" w:lineRule="auto"/>
        <w:rPr>
          <w:color w:val="auto"/>
          <w:highlight w:val="none"/>
        </w:rPr>
      </w:pPr>
      <w:r>
        <w:rPr>
          <w:color w:val="auto"/>
          <w:highlight w:val="none"/>
        </w:rPr>
      </w:r>
      <w:r/>
    </w:p>
    <w:p>
      <w:pPr>
        <w:pStyle w:val="860"/>
        <w:ind w:firstLine="321"/>
        <w:jc w:val="center"/>
        <w:spacing w:line="360" w:lineRule="auto"/>
        <w:rPr>
          <w:color w:val="auto"/>
          <w:highlight w:val="none"/>
        </w:rPr>
        <w:outlineLvl w:val="1"/>
      </w:pPr>
      <w:r/>
      <w:bookmarkStart w:id="75" w:name="_Toc514054484"/>
      <w:r/>
      <w:bookmarkStart w:id="76" w:name="_Toc26779"/>
      <w:r>
        <w:rPr>
          <w:color w:val="auto"/>
          <w:highlight w:val="none"/>
        </w:rPr>
        <w:t xml:space="preserve">封面</w:t>
      </w:r>
      <w:bookmarkEnd w:id="75"/>
      <w:r/>
      <w:bookmarkEnd w:id="76"/>
      <w:r/>
      <w:r/>
    </w:p>
    <w:p>
      <w:pPr>
        <w:pStyle w:val="861"/>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1"/>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1"/>
        <w:jc w:val="left"/>
        <w:spacing w:line="360" w:lineRule="auto"/>
        <w:rPr>
          <w:rFonts w:hint="eastAsia" w:ascii="黑体" w:eastAsia="黑体" w:cs="黑体"/>
          <w:color w:val="auto"/>
          <w:sz w:val="32"/>
          <w:szCs w:val="32"/>
          <w:highlight w:val="none"/>
        </w:rPr>
      </w:pPr>
      <w:r>
        <w:rPr>
          <w:rFonts w:hint="eastAsia" w:ascii="黑体" w:eastAsia="黑体" w:cs="黑体"/>
          <w:color w:val="auto"/>
          <w:sz w:val="32"/>
          <w:szCs w:val="32"/>
          <w:highlight w:val="none"/>
        </w:rPr>
      </w:r>
      <w:r/>
    </w:p>
    <w:p>
      <w:pPr>
        <w:pStyle w:val="861"/>
        <w:jc w:val="center"/>
        <w:spacing w:line="360" w:lineRule="auto"/>
        <w:rPr>
          <w:rFonts w:ascii="黑体" w:eastAsia="黑体" w:cs="黑体"/>
          <w:color w:val="auto"/>
          <w:sz w:val="44"/>
          <w:szCs w:val="44"/>
          <w:highlight w:val="none"/>
          <w:u w:val="single"/>
        </w:rPr>
      </w:pPr>
      <w:r>
        <w:rPr>
          <w:rFonts w:hint="eastAsia" w:ascii="黑体" w:eastAsia="黑体" w:cs="黑体"/>
          <w:color w:val="auto"/>
          <w:sz w:val="44"/>
          <w:szCs w:val="44"/>
          <w:highlight w:val="none"/>
          <w:u w:val="single"/>
        </w:rPr>
        <w:t xml:space="preserve">（  项 目 名 称  ）</w:t>
      </w:r>
      <w:r/>
    </w:p>
    <w:p>
      <w:pPr>
        <w:pStyle w:val="861"/>
        <w:jc w:val="center"/>
        <w:spacing w:line="360" w:lineRule="auto"/>
        <w:rPr>
          <w:rFonts w:hint="eastAsia" w:ascii="黑体" w:eastAsia="黑体" w:cs="黑体"/>
          <w:color w:val="auto"/>
          <w:sz w:val="52"/>
          <w:szCs w:val="52"/>
          <w:highlight w:val="none"/>
        </w:rPr>
      </w:pPr>
      <w:r>
        <w:rPr>
          <w:rFonts w:hint="eastAsia" w:ascii="黑体" w:eastAsia="黑体" w:cs="黑体"/>
          <w:color w:val="auto"/>
          <w:sz w:val="52"/>
          <w:szCs w:val="52"/>
          <w:highlight w:val="none"/>
        </w:rPr>
      </w:r>
      <w:r/>
    </w:p>
    <w:p>
      <w:pPr>
        <w:pStyle w:val="861"/>
        <w:jc w:val="center"/>
        <w:spacing w:line="360" w:lineRule="auto"/>
        <w:rPr>
          <w:rFonts w:ascii="黑体" w:eastAsia="黑体" w:cs="黑体"/>
          <w:color w:val="auto"/>
          <w:sz w:val="72"/>
          <w:szCs w:val="72"/>
          <w:highlight w:val="none"/>
        </w:rPr>
      </w:pPr>
      <w:r>
        <w:rPr>
          <w:rFonts w:hint="eastAsia" w:ascii="黑体" w:eastAsia="黑体" w:cs="黑体"/>
          <w:color w:val="auto"/>
          <w:sz w:val="72"/>
          <w:szCs w:val="72"/>
          <w:highlight w:val="none"/>
        </w:rPr>
        <w:t xml:space="preserve">投</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文</w:t>
      </w:r>
      <w:r>
        <w:rPr>
          <w:rFonts w:ascii="黑体" w:eastAsia="黑体" w:cs="黑体"/>
          <w:color w:val="auto"/>
          <w:sz w:val="72"/>
          <w:szCs w:val="72"/>
          <w:highlight w:val="none"/>
        </w:rPr>
        <w:t xml:space="preserve"> </w:t>
      </w:r>
      <w:r>
        <w:rPr>
          <w:rFonts w:hint="eastAsia" w:ascii="黑体" w:eastAsia="黑体" w:cs="黑体"/>
          <w:color w:val="auto"/>
          <w:sz w:val="72"/>
          <w:szCs w:val="72"/>
          <w:highlight w:val="none"/>
        </w:rPr>
        <w:t xml:space="preserve">件</w:t>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center"/>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（分包号）</w:t>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jc w:val="left"/>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r>
      <w:r/>
    </w:p>
    <w:p>
      <w:pPr>
        <w:pStyle w:val="861"/>
        <w:ind w:firstLine="2520"/>
        <w:spacing w:line="360" w:lineRule="auto"/>
        <w:rPr>
          <w:rFonts w:ascii="黑体" w:eastAsia="黑体" w:cs="黑体"/>
          <w:color w:val="auto"/>
          <w:sz w:val="28"/>
          <w:szCs w:val="28"/>
          <w:highlight w:val="none"/>
        </w:rPr>
      </w:pPr>
      <w:r>
        <w:rPr>
          <w:rFonts w:hint="eastAsia" w:ascii="黑体" w:eastAsia="黑体" w:cs="黑体"/>
          <w:color w:val="auto"/>
          <w:sz w:val="28"/>
          <w:szCs w:val="28"/>
          <w:highlight w:val="none"/>
        </w:rPr>
        <w:t xml:space="preserve">投标人：</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（盖章）</w:t>
      </w:r>
      <w:r/>
    </w:p>
    <w:p>
      <w:pPr>
        <w:pStyle w:val="861"/>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                  法定代表人（或授权代表）：（签字</w:t>
      </w:r>
      <w:r>
        <w:rPr>
          <w:rFonts w:hint="eastAsia" w:ascii="黑体" w:eastAsia="黑体" w:cs="黑体"/>
          <w:color w:val="auto"/>
          <w:sz w:val="28"/>
          <w:szCs w:val="28"/>
          <w:highlight w:val="none"/>
          <w:lang w:val="en-US" w:eastAsia="zh-CN"/>
        </w:rPr>
        <w:t xml:space="preserve">或签章</w:t>
      </w:r>
      <w:r>
        <w:rPr>
          <w:rFonts w:hint="eastAsia" w:ascii="黑体" w:eastAsia="黑体" w:cs="黑体"/>
          <w:color w:val="auto"/>
          <w:sz w:val="28"/>
          <w:szCs w:val="28"/>
          <w:highlight w:val="none"/>
        </w:rPr>
        <w:t xml:space="preserve">）</w:t>
      </w:r>
      <w:r>
        <w:rPr>
          <w:rFonts w:ascii="黑体" w:eastAsia="黑体" w:cs="黑体"/>
          <w:color w:val="auto"/>
          <w:sz w:val="28"/>
          <w:szCs w:val="28"/>
          <w:highlight w:val="none"/>
        </w:rPr>
        <w:t xml:space="preserve"> </w:t>
      </w:r>
      <w:r/>
    </w:p>
    <w:p>
      <w:pPr>
        <w:pStyle w:val="861"/>
        <w:ind w:firstLine="3080"/>
        <w:spacing w:line="360" w:lineRule="auto"/>
        <w:rPr>
          <w:rFonts w:hint="eastAsia" w:ascii="黑体" w:eastAsia="黑体" w:cs="黑体"/>
          <w:color w:val="auto"/>
          <w:sz w:val="28"/>
          <w:szCs w:val="28"/>
          <w:highlight w:val="none"/>
        </w:rPr>
      </w:pPr>
      <w:r>
        <w:rPr>
          <w:rFonts w:hint="eastAsia" w:ascii="黑体" w:eastAsia="黑体" w:cs="黑体"/>
          <w:color w:val="auto"/>
          <w:sz w:val="28"/>
          <w:szCs w:val="28"/>
          <w:highlight w:val="none"/>
        </w:rPr>
        <w:t xml:space="preserve">年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月   </w:t>
      </w:r>
      <w:r>
        <w:rPr>
          <w:rFonts w:ascii="黑体" w:eastAsia="黑体" w:cs="黑体"/>
          <w:color w:val="auto"/>
          <w:sz w:val="28"/>
          <w:szCs w:val="28"/>
          <w:highlight w:val="none"/>
        </w:rPr>
        <w:t xml:space="preserve"> </w:t>
      </w:r>
      <w:r>
        <w:rPr>
          <w:rFonts w:hint="eastAsia" w:ascii="黑体" w:eastAsia="黑体" w:cs="黑体"/>
          <w:color w:val="auto"/>
          <w:sz w:val="28"/>
          <w:szCs w:val="28"/>
          <w:highlight w:val="none"/>
        </w:rPr>
        <w:t xml:space="preserve">日</w:t>
      </w:r>
      <w:r/>
      <w:r>
        <w:rPr>
          <w:color w:val="auto"/>
          <w:highlight w:val="none"/>
        </w:rPr>
      </w:r>
      <w:r/>
      <w:r>
        <w:rPr>
          <w:rFonts w:hint="eastAsia" w:ascii="黑体" w:eastAsia="黑体" w:cs="黑体"/>
          <w:color w:val="auto"/>
          <w:sz w:val="28"/>
          <w:szCs w:val="28"/>
          <w:highlight w:val="none"/>
        </w:rPr>
      </w:r>
    </w:p>
    <w:p>
      <w:pPr>
        <w:pStyle w:val="862"/>
        <w:jc w:val="center"/>
        <w:spacing w:line="360" w:lineRule="auto"/>
        <w:rPr>
          <w:color w:val="auto"/>
          <w:highlight w:val="none"/>
        </w:rPr>
        <w:outlineLvl w:val="1"/>
      </w:pPr>
      <w:r>
        <w:rPr>
          <w:color w:val="auto"/>
          <w:highlight w:val="none"/>
        </w:rPr>
        <w:br w:type="page" w:clear="all"/>
      </w:r>
      <w:bookmarkStart w:id="77" w:name="_Toc11482"/>
      <w:r/>
      <w:bookmarkStart w:id="78" w:name="_Toc514054485"/>
      <w:r/>
      <w:r/>
    </w:p>
    <w:p>
      <w:pPr>
        <w:pStyle w:val="862"/>
        <w:jc w:val="center"/>
        <w:spacing w:line="360" w:lineRule="auto"/>
        <w:rPr>
          <w:color w:val="auto"/>
          <w:highlight w:val="none"/>
        </w:rPr>
        <w:outlineLvl w:val="1"/>
      </w:pPr>
      <w:r>
        <w:rPr>
          <w:color w:val="auto"/>
          <w:highlight w:val="none"/>
        </w:rPr>
      </w:r>
      <w:r/>
    </w:p>
    <w:p>
      <w:pPr>
        <w:pStyle w:val="862"/>
        <w:jc w:val="center"/>
        <w:spacing w:line="360" w:lineRule="auto"/>
        <w:rPr>
          <w:color w:val="auto"/>
          <w:highlight w:val="none"/>
        </w:rPr>
        <w:outlineLvl w:val="1"/>
      </w:pPr>
      <w:r>
        <w:rPr>
          <w:color w:val="auto"/>
          <w:highlight w:val="none"/>
        </w:rPr>
        <w:t xml:space="preserve">目录</w:t>
      </w:r>
      <w:bookmarkEnd w:id="77"/>
      <w:r/>
      <w:bookmarkEnd w:id="78"/>
      <w:r/>
      <w:r/>
    </w:p>
    <w:p>
      <w:pPr>
        <w:pStyle w:val="863"/>
        <w:spacing w:after="100" w:afterAutospacing="1" w:line="360" w:lineRule="auto"/>
        <w:rPr>
          <w:color w:val="auto"/>
          <w:highlight w:val="none"/>
        </w:rPr>
      </w:pPr>
      <w:r>
        <w:rPr>
          <w:rFonts w:ascii="宋体" w:hAnsi="宋体" w:eastAsia="宋体" w:cs="宋体"/>
          <w:color w:val="auto"/>
          <w:highlight w:val="none"/>
        </w:rPr>
        <w:t xml:space="preserve">一、投标人基本情况</w:t>
      </w:r>
      <w:r/>
    </w:p>
    <w:p>
      <w:pPr>
        <w:pStyle w:val="863"/>
        <w:spacing w:after="100" w:afterAutospacing="1" w:line="360" w:lineRule="auto"/>
        <w:rPr>
          <w:color w:val="auto"/>
          <w:highlight w:val="none"/>
        </w:rPr>
      </w:pPr>
      <w:r>
        <w:rPr>
          <w:rFonts w:ascii="宋体" w:hAnsi="宋体" w:eastAsia="宋体" w:cs="宋体"/>
          <w:color w:val="auto"/>
          <w:highlight w:val="none"/>
        </w:rPr>
        <w:t xml:space="preserve">二、投标人资质</w:t>
      </w:r>
      <w:r/>
    </w:p>
    <w:p>
      <w:pPr>
        <w:pStyle w:val="863"/>
        <w:spacing w:after="100" w:afterAutospacing="1" w:line="360" w:lineRule="auto"/>
        <w:rPr>
          <w:color w:val="auto"/>
          <w:highlight w:val="none"/>
        </w:rPr>
      </w:pPr>
      <w:r>
        <w:rPr>
          <w:rFonts w:ascii="宋体" w:hAnsi="宋体" w:eastAsia="宋体" w:cs="宋体"/>
          <w:color w:val="auto"/>
          <w:highlight w:val="none"/>
        </w:rPr>
        <w:t xml:space="preserve">三、</w:t>
      </w:r>
      <w:r>
        <w:rPr>
          <w:rFonts w:hint="eastAsia" w:ascii="宋体" w:hAnsi="宋体" w:eastAsia="宋体" w:cs="宋体"/>
          <w:color w:val="auto"/>
          <w:highlight w:val="none"/>
        </w:rPr>
        <w:t xml:space="preserve">投标人具有良好的商业信誉和健全的财务会计制度</w:t>
      </w:r>
      <w:r/>
    </w:p>
    <w:p>
      <w:pPr>
        <w:pStyle w:val="863"/>
        <w:spacing w:after="100" w:afterAutospacing="1" w:line="360" w:lineRule="auto"/>
        <w:rPr>
          <w:color w:val="auto"/>
          <w:highlight w:val="none"/>
        </w:rPr>
      </w:pPr>
      <w:r>
        <w:rPr>
          <w:rFonts w:ascii="宋体" w:hAnsi="宋体" w:eastAsia="宋体" w:cs="宋体"/>
          <w:color w:val="auto"/>
          <w:highlight w:val="none"/>
        </w:rPr>
        <w:t xml:space="preserve">四、</w:t>
      </w:r>
      <w:r>
        <w:rPr>
          <w:rFonts w:hint="eastAsia" w:ascii="宋体" w:hAnsi="宋体" w:cs="Arial"/>
          <w:bCs/>
          <w:color w:val="auto"/>
          <w:highlight w:val="none"/>
        </w:rPr>
        <w:t xml:space="preserve">具有履行合同所必需的设备和专业技术能力</w:t>
      </w:r>
      <w:r/>
    </w:p>
    <w:p>
      <w:pPr>
        <w:pStyle w:val="863"/>
        <w:spacing w:after="100" w:afterAutospacing="1" w:line="360" w:lineRule="auto"/>
        <w:rPr>
          <w:rFonts w:hint="eastAsia" w:ascii="宋体" w:hAnsi="宋体" w:cs="Arial"/>
          <w:bCs/>
          <w:color w:val="auto"/>
          <w:highlight w:val="none"/>
        </w:rPr>
      </w:pPr>
      <w:r>
        <w:rPr>
          <w:rFonts w:ascii="宋体" w:hAnsi="宋体" w:eastAsia="宋体" w:cs="宋体"/>
          <w:color w:val="auto"/>
          <w:highlight w:val="none"/>
        </w:rPr>
        <w:t xml:space="preserve">五、</w:t>
      </w:r>
      <w:r>
        <w:rPr>
          <w:rFonts w:hint="eastAsia" w:ascii="宋体" w:hAnsi="宋体" w:cs="Arial"/>
          <w:bCs/>
          <w:color w:val="auto"/>
          <w:highlight w:val="none"/>
        </w:rPr>
        <w:t xml:space="preserve">有依法缴纳税收和社会保障资金的良好记录</w:t>
      </w:r>
      <w:r/>
    </w:p>
    <w:p>
      <w:pPr>
        <w:pStyle w:val="863"/>
        <w:spacing w:after="100" w:afterAutospacing="1" w:line="360" w:lineRule="auto"/>
        <w:rPr>
          <w:color w:val="auto"/>
          <w:highlight w:val="none"/>
        </w:rPr>
      </w:pPr>
      <w:r>
        <w:rPr>
          <w:rFonts w:ascii="宋体" w:hAnsi="宋体" w:eastAsia="宋体" w:cs="宋体"/>
          <w:color w:val="auto"/>
          <w:highlight w:val="none"/>
        </w:rPr>
        <w:t xml:space="preserve">六、无重大违法行为声明</w:t>
      </w:r>
      <w:r/>
    </w:p>
    <w:p>
      <w:pPr>
        <w:pStyle w:val="863"/>
        <w:spacing w:after="100" w:afterAutospacing="1" w:line="360" w:lineRule="auto"/>
        <w:rPr>
          <w:color w:val="auto"/>
          <w:highlight w:val="none"/>
        </w:rPr>
      </w:pPr>
      <w:r>
        <w:rPr>
          <w:rFonts w:ascii="宋体" w:hAnsi="宋体" w:eastAsia="宋体" w:cs="宋体"/>
          <w:color w:val="auto"/>
          <w:highlight w:val="none"/>
        </w:rPr>
        <w:t xml:space="preserve">七、投标函</w:t>
      </w:r>
      <w:r/>
    </w:p>
    <w:p>
      <w:pPr>
        <w:pStyle w:val="863"/>
        <w:spacing w:after="100" w:afterAutospacing="1" w:line="360" w:lineRule="auto"/>
        <w:rPr>
          <w:color w:val="auto"/>
          <w:highlight w:val="none"/>
        </w:rPr>
      </w:pPr>
      <w:r>
        <w:rPr>
          <w:rFonts w:ascii="宋体" w:hAnsi="宋体" w:eastAsia="宋体" w:cs="宋体"/>
          <w:color w:val="auto"/>
          <w:highlight w:val="none"/>
        </w:rPr>
        <w:t xml:space="preserve">八、法定代表人身份证明或授权委托书</w:t>
      </w:r>
      <w:r/>
    </w:p>
    <w:p>
      <w:pPr>
        <w:pStyle w:val="863"/>
        <w:spacing w:after="100" w:afterAutospacing="1" w:line="360" w:lineRule="auto"/>
        <w:rPr>
          <w:color w:val="auto"/>
          <w:highlight w:val="none"/>
        </w:rPr>
      </w:pPr>
      <w:r>
        <w:rPr>
          <w:rFonts w:ascii="宋体" w:hAnsi="宋体" w:eastAsia="宋体" w:cs="宋体"/>
          <w:color w:val="auto"/>
          <w:highlight w:val="none"/>
        </w:rPr>
        <w:t xml:space="preserve">九、开标一览表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十、明细报价表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十一、中小企业声明函</w:t>
      </w:r>
      <w:r/>
    </w:p>
    <w:p>
      <w:pPr>
        <w:pStyle w:val="863"/>
        <w:spacing w:after="100" w:afterAutospacing="1" w:line="360" w:lineRule="auto"/>
        <w:rPr>
          <w:color w:val="auto"/>
          <w:highlight w:val="none"/>
        </w:rPr>
      </w:pPr>
      <w:r>
        <w:rPr>
          <w:rFonts w:ascii="宋体" w:hAnsi="宋体" w:eastAsia="宋体" w:cs="宋体"/>
          <w:color w:val="auto"/>
          <w:highlight w:val="none"/>
        </w:rPr>
        <w:t xml:space="preserve">十二、响应偏差表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十三、所投产品技术资料或样本等</w:t>
      </w:r>
      <w:r/>
    </w:p>
    <w:p>
      <w:pPr>
        <w:pStyle w:val="863"/>
        <w:spacing w:after="100" w:afterAutospacing="1" w:line="360" w:lineRule="auto"/>
        <w:rPr>
          <w:color w:val="auto"/>
          <w:highlight w:val="none"/>
        </w:rPr>
      </w:pPr>
      <w:r>
        <w:rPr>
          <w:rFonts w:ascii="宋体" w:hAnsi="宋体" w:eastAsia="宋体" w:cs="宋体"/>
          <w:color w:val="auto"/>
          <w:highlight w:val="none"/>
        </w:rPr>
        <w:t xml:space="preserve">十四、主要部件、辅材明细表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十五、</w:t>
      </w:r>
      <w:bookmarkStart w:id="79" w:name="_Toc21060_WPSOffice_Level2"/>
      <w:r>
        <w:rPr>
          <w:rFonts w:hint="eastAsia" w:ascii="宋体" w:hAnsi="宋体" w:eastAsia="宋体" w:cs="宋体"/>
          <w:color w:val="auto"/>
          <w:highlight w:val="none"/>
          <w:lang w:val="en-US" w:eastAsia="zh-CN"/>
        </w:rPr>
        <w:t xml:space="preserve">服务</w:t>
      </w:r>
      <w:r>
        <w:rPr>
          <w:rFonts w:ascii="宋体" w:hAnsi="宋体" w:eastAsia="宋体" w:cs="宋体"/>
          <w:color w:val="auto"/>
          <w:highlight w:val="none"/>
        </w:rPr>
        <w:t xml:space="preserve">方案</w:t>
      </w:r>
      <w:bookmarkEnd w:id="79"/>
      <w:r/>
      <w:r/>
    </w:p>
    <w:p>
      <w:pPr>
        <w:pStyle w:val="863"/>
        <w:spacing w:after="100" w:afterAutospacing="1" w:line="360" w:lineRule="auto"/>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ascii="宋体" w:hAnsi="宋体" w:eastAsia="宋体" w:cs="宋体"/>
          <w:color w:val="auto"/>
          <w:highlight w:val="none"/>
        </w:rPr>
        <w:t xml:space="preserve">、项目业绩一览表</w:t>
      </w:r>
      <w:r/>
    </w:p>
    <w:p>
      <w:pPr>
        <w:pStyle w:val="863"/>
        <w:spacing w:after="100" w:afterAutospacing="1" w:line="360" w:lineRule="auto"/>
        <w:rPr>
          <w:color w:val="auto"/>
          <w:highlight w:val="none"/>
        </w:rPr>
      </w:pPr>
      <w:r>
        <w:rPr>
          <w:rFonts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七</w:t>
      </w:r>
      <w:r>
        <w:rPr>
          <w:rFonts w:ascii="宋体" w:hAnsi="宋体" w:eastAsia="宋体" w:cs="宋体"/>
          <w:color w:val="auto"/>
          <w:highlight w:val="none"/>
        </w:rPr>
        <w:t xml:space="preserve">、投标所需其他材料</w:t>
      </w:r>
      <w:r/>
    </w:p>
    <w:p>
      <w:pPr>
        <w:pStyle w:val="864"/>
        <w:spacing w:line="360" w:lineRule="auto"/>
        <w:rPr>
          <w:color w:val="auto"/>
          <w:highlight w:val="none"/>
        </w:rPr>
        <w:outlineLvl w:val="1"/>
      </w:pPr>
      <w:r>
        <w:rPr>
          <w:color w:val="auto"/>
          <w:highlight w:val="none"/>
        </w:rPr>
        <w:br w:type="page" w:clear="all"/>
      </w:r>
      <w:bookmarkStart w:id="80" w:name="_Toc21292"/>
      <w:r/>
      <w:bookmarkStart w:id="81" w:name="_Toc514054486"/>
      <w:r/>
      <w:bookmarkStart w:id="82" w:name="_Toc23205_WPSOffice_Level2"/>
      <w:r>
        <w:rPr>
          <w:color w:val="auto"/>
          <w:highlight w:val="none"/>
        </w:rPr>
        <w:t xml:space="preserve">一、投标人基本情况</w:t>
      </w:r>
      <w:bookmarkEnd w:id="80"/>
      <w:r/>
      <w:bookmarkEnd w:id="81"/>
      <w:r/>
      <w:bookmarkEnd w:id="82"/>
      <w:r/>
      <w:r/>
    </w:p>
    <w:p>
      <w:pPr>
        <w:pStyle w:val="865"/>
        <w:jc w:val="center"/>
        <w:spacing w:line="360" w:lineRule="auto"/>
        <w:rPr>
          <w:rFonts w:hint="eastAsia"/>
          <w:color w:val="auto"/>
          <w:sz w:val="44"/>
          <w:szCs w:val="44"/>
          <w:highlight w:val="none"/>
        </w:rPr>
      </w:pPr>
      <w:r>
        <w:rPr>
          <w:rFonts w:hint="eastAsia"/>
          <w:color w:val="auto"/>
          <w:sz w:val="44"/>
          <w:szCs w:val="44"/>
          <w:highlight w:val="none"/>
        </w:rPr>
        <w:t xml:space="preserve">投标人基本情况表</w:t>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c>
          <w:tcPr>
            <w:tcW w:w="127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vAlign w:val="top"/>
            <w:textDirection w:val="lrTb"/>
            <w:noWrap w:val="false"/>
          </w:tcPr>
          <w:p>
            <w:pPr>
              <w:pStyle w:val="865"/>
              <w:ind w:firstLine="1432"/>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865"/>
              <w:jc w:val="cente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r>
            <w:r/>
          </w:p>
        </w:tc>
      </w:tr>
    </w:tbl>
    <w:p>
      <w:pPr>
        <w:pStyle w:val="865"/>
        <w:jc w:val="center"/>
        <w:spacing w:line="360" w:lineRule="auto"/>
        <w:rPr>
          <w:rFonts w:hint="eastAsia" w:ascii="方正大标宋简体" w:eastAsia="方正大标宋简体"/>
          <w:bCs/>
          <w:color w:val="auto"/>
          <w:sz w:val="32"/>
          <w:szCs w:val="32"/>
          <w:highlight w:val="none"/>
        </w:rPr>
      </w:pPr>
      <w:r>
        <w:rPr>
          <w:rFonts w:hint="eastAsia" w:ascii="方正大标宋简体" w:eastAsia="方正大标宋简体"/>
          <w:bCs/>
          <w:color w:val="auto"/>
          <w:sz w:val="32"/>
          <w:szCs w:val="32"/>
          <w:highlight w:val="none"/>
        </w:rPr>
      </w:r>
      <w:r/>
    </w:p>
    <w:p>
      <w:pPr>
        <w:pStyle w:val="866"/>
        <w:spacing w:line="360" w:lineRule="auto"/>
        <w:rPr>
          <w:rFonts w:hint="eastAsia"/>
          <w:color w:val="auto"/>
          <w:highlight w:val="none"/>
        </w:rPr>
        <w:outlineLvl w:val="1"/>
      </w:pPr>
      <w:r>
        <w:rPr>
          <w:color w:val="auto"/>
          <w:highlight w:val="none"/>
        </w:rPr>
        <w:br w:type="page" w:clear="all"/>
      </w:r>
      <w:bookmarkStart w:id="83" w:name="_Toc30260_WPSOffice_Level2"/>
      <w:r/>
      <w:bookmarkStart w:id="84" w:name="_Toc514054487"/>
      <w:r/>
      <w:bookmarkStart w:id="85" w:name="_Toc15353"/>
      <w:r>
        <w:rPr>
          <w:color w:val="auto"/>
          <w:highlight w:val="none"/>
        </w:rPr>
        <w:t xml:space="preserve">二、</w:t>
      </w:r>
      <w:r>
        <w:rPr>
          <w:rFonts w:hint="eastAsia"/>
          <w:color w:val="auto"/>
          <w:highlight w:val="none"/>
          <w:lang w:val="en-US" w:eastAsia="zh-CN"/>
        </w:rPr>
        <w:t xml:space="preserve">投标</w:t>
      </w:r>
      <w:r>
        <w:rPr>
          <w:color w:val="auto"/>
          <w:highlight w:val="none"/>
        </w:rPr>
        <w:t xml:space="preserve">人资质</w:t>
      </w:r>
      <w:bookmarkEnd w:id="83"/>
      <w:r/>
      <w:bookmarkEnd w:id="84"/>
      <w:r>
        <w:rPr>
          <w:rFonts w:hint="eastAsia"/>
          <w:color w:val="auto"/>
          <w:highlight w:val="none"/>
          <w:lang w:eastAsia="zh-CN"/>
        </w:rPr>
        <w:t xml:space="preserve">（</w:t>
      </w:r>
      <w:r>
        <w:rPr>
          <w:rFonts w:hint="eastAsia"/>
          <w:color w:val="auto"/>
          <w:highlight w:val="none"/>
          <w:lang w:val="en-US" w:eastAsia="zh-CN"/>
        </w:rPr>
        <w:t xml:space="preserve">按资格要求提供</w:t>
      </w:r>
      <w:r>
        <w:rPr>
          <w:rFonts w:hint="eastAsia"/>
          <w:color w:val="auto"/>
          <w:highlight w:val="none"/>
          <w:lang w:eastAsia="zh-CN"/>
        </w:rPr>
        <w:t xml:space="preserve">）</w:t>
      </w:r>
      <w:bookmarkEnd w:id="85"/>
      <w:r/>
      <w:r/>
    </w:p>
    <w:p>
      <w:pPr>
        <w:pStyle w:val="867"/>
        <w:spacing w:line="360" w:lineRule="auto"/>
        <w:rPr>
          <w:rFonts w:hint="eastAsia"/>
          <w:color w:val="auto"/>
          <w:highlight w:val="none"/>
        </w:rPr>
      </w:pPr>
      <w:r>
        <w:rPr>
          <w:rFonts w:hint="eastAsia"/>
          <w:color w:val="auto"/>
          <w:highlight w:val="none"/>
        </w:rPr>
        <w:t xml:space="preserve">    </w:t>
      </w:r>
      <w:bookmarkStart w:id="86" w:name="_Toc514054488"/>
      <w:r/>
      <w:bookmarkStart w:id="87" w:name="_Toc21452_WPSOffice_Level2"/>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rFonts w:hint="eastAsia"/>
          <w:color w:val="auto"/>
          <w:highlight w:val="none"/>
        </w:rPr>
      </w:pPr>
      <w:r>
        <w:rPr>
          <w:rFonts w:hint="eastAsia"/>
          <w:color w:val="auto"/>
          <w:highlight w:val="none"/>
        </w:rPr>
      </w:r>
      <w:r/>
    </w:p>
    <w:p>
      <w:pPr>
        <w:pStyle w:val="867"/>
        <w:spacing w:line="360" w:lineRule="auto"/>
        <w:rPr>
          <w:color w:val="auto"/>
          <w:highlight w:val="none"/>
        </w:rPr>
        <w:outlineLvl w:val="1"/>
      </w:pPr>
      <w:r/>
      <w:bookmarkStart w:id="88" w:name="_Toc18935"/>
      <w:r>
        <w:rPr>
          <w:color w:val="auto"/>
          <w:highlight w:val="none"/>
        </w:rPr>
        <w:t xml:space="preserve">三、投标人</w:t>
      </w:r>
      <w:bookmarkEnd w:id="86"/>
      <w:r/>
      <w:bookmarkEnd w:id="87"/>
      <w:r/>
      <w:bookmarkEnd w:id="88"/>
      <w:r>
        <w:rPr>
          <w:rFonts w:hint="eastAsia" w:ascii="宋体" w:hAnsi="宋体" w:cs="Arial"/>
          <w:bCs/>
          <w:color w:val="auto"/>
          <w:highlight w:val="none"/>
        </w:rPr>
        <w:t xml:space="preserve">具有良好的商业信誉和健全的财务会计制度</w:t>
      </w:r>
      <w:r/>
    </w:p>
    <w:p>
      <w:pPr>
        <w:pStyle w:val="868"/>
        <w:spacing w:line="360" w:lineRule="auto"/>
        <w:rPr>
          <w:color w:val="auto"/>
          <w:highlight w:val="none"/>
        </w:rPr>
      </w:pPr>
      <w:r>
        <w:rPr>
          <w:rFonts w:hint="eastAsia" w:ascii="宋体"/>
          <w:bCs/>
          <w:color w:val="auto"/>
          <w:szCs w:val="32"/>
          <w:highlight w:val="none"/>
        </w:rPr>
        <w:t xml:space="preserve">提供符合招标文件要求的资料</w:t>
      </w:r>
      <w:r/>
    </w:p>
    <w:p>
      <w:pPr>
        <w:pStyle w:val="869"/>
        <w:spacing w:line="360" w:lineRule="auto"/>
        <w:rPr>
          <w:color w:val="auto"/>
          <w:highlight w:val="none"/>
        </w:rPr>
        <w:outlineLvl w:val="1"/>
      </w:pPr>
      <w:r>
        <w:rPr>
          <w:color w:val="auto"/>
          <w:highlight w:val="none"/>
        </w:rPr>
        <w:br w:type="page" w:clear="all"/>
      </w:r>
      <w:bookmarkStart w:id="89" w:name="_Toc514054489"/>
      <w:r/>
      <w:bookmarkStart w:id="90" w:name="_Toc11562_WPSOffice_Level2"/>
      <w:r/>
      <w:bookmarkStart w:id="91" w:name="_Toc29626"/>
      <w:r>
        <w:rPr>
          <w:color w:val="auto"/>
          <w:highlight w:val="none"/>
        </w:rPr>
        <w:t xml:space="preserve">四、</w:t>
      </w:r>
      <w:bookmarkEnd w:id="89"/>
      <w:r/>
      <w:bookmarkEnd w:id="90"/>
      <w:r/>
      <w:bookmarkEnd w:id="91"/>
      <w:r>
        <w:rPr>
          <w:rFonts w:hint="eastAsia" w:ascii="宋体" w:hAnsi="宋体" w:cs="Arial"/>
          <w:bCs/>
          <w:color w:val="auto"/>
          <w:highlight w:val="none"/>
        </w:rPr>
        <w:t xml:space="preserve">具有履行合同所必需的设备和专业技术能力</w:t>
      </w:r>
      <w:r/>
    </w:p>
    <w:p>
      <w:pPr>
        <w:pStyle w:val="870"/>
        <w:jc w:val="center"/>
        <w:spacing w:line="360" w:lineRule="auto"/>
        <w:rPr>
          <w:rFonts w:hint="eastAsia" w:ascii="宋体" w:hAnsi="宋体"/>
          <w:b/>
          <w:color w:val="auto"/>
          <w:sz w:val="32"/>
          <w:szCs w:val="24"/>
          <w:highlight w:val="none"/>
        </w:rPr>
      </w:pPr>
      <w:r/>
      <w:bookmarkStart w:id="92" w:name="_Toc31740_WPSOffice_Level2"/>
      <w:r/>
      <w:r/>
    </w:p>
    <w:p>
      <w:pPr>
        <w:pStyle w:val="870"/>
        <w:jc w:val="center"/>
        <w:spacing w:line="360" w:lineRule="auto"/>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bookmarkEnd w:id="92"/>
      <w:r/>
      <w:r/>
    </w:p>
    <w:p>
      <w:pPr>
        <w:pStyle w:val="870"/>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7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（采购单位）</w:t>
      </w:r>
      <w:r>
        <w:rPr>
          <w:rFonts w:hint="eastAsia" w:ascii="仿宋_GB2312" w:eastAsia="仿宋_GB2312"/>
          <w:color w:val="auto"/>
          <w:sz w:val="24"/>
          <w:highlight w:val="none"/>
        </w:rPr>
        <w:t xml:space="preserve">：</w:t>
      </w:r>
      <w:r/>
    </w:p>
    <w:p>
      <w:pPr>
        <w:pStyle w:val="87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   我公司具备履行编号为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870"/>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870"/>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0"/>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72"/>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63"/>
        <w:spacing w:after="100" w:afterAutospacing="1" w:line="360" w:lineRule="auto"/>
        <w:rPr>
          <w:rFonts w:hint="eastAsia" w:ascii="宋体" w:hAnsi="宋体" w:cs="Arial"/>
          <w:bCs/>
          <w:color w:val="auto"/>
          <w:highlight w:val="none"/>
        </w:rPr>
      </w:pPr>
      <w:r>
        <w:rPr>
          <w:color w:val="auto"/>
          <w:highlight w:val="none"/>
        </w:rPr>
        <w:br w:type="page" w:clear="all"/>
      </w:r>
      <w:bookmarkStart w:id="93" w:name="_Toc13419"/>
      <w:r/>
      <w:bookmarkStart w:id="94" w:name="_Toc467_WPSOffice_Level2"/>
      <w:r/>
      <w:bookmarkStart w:id="95" w:name="_Toc514054490"/>
      <w:r>
        <w:rPr>
          <w:rFonts w:hint="eastAsia" w:ascii="宋体" w:hAnsi="宋体" w:eastAsia="黑体" w:cs="Arial"/>
          <w:b/>
          <w:bCs/>
          <w:color w:val="auto"/>
          <w:sz w:val="32"/>
          <w:highlight w:val="none"/>
        </w:rPr>
        <w:t xml:space="preserve">五、</w:t>
      </w:r>
      <w:bookmarkEnd w:id="93"/>
      <w:r/>
      <w:bookmarkEnd w:id="94"/>
      <w:r/>
      <w:bookmarkEnd w:id="95"/>
      <w:r>
        <w:rPr>
          <w:rFonts w:hint="eastAsia" w:ascii="宋体" w:hAnsi="宋体" w:eastAsia="黑体" w:cs="Arial"/>
          <w:b/>
          <w:bCs/>
          <w:color w:val="auto"/>
          <w:sz w:val="32"/>
          <w:highlight w:val="none"/>
        </w:rPr>
        <w:t xml:space="preserve">有依法缴纳税收和社会保障资金的良好记录</w:t>
      </w:r>
      <w:r/>
    </w:p>
    <w:p>
      <w:pPr>
        <w:pStyle w:val="868"/>
        <w:spacing w:line="360" w:lineRule="auto"/>
        <w:rPr>
          <w:color w:val="auto"/>
          <w:highlight w:val="none"/>
        </w:rPr>
      </w:pPr>
      <w:r>
        <w:rPr>
          <w:rFonts w:hint="eastAsia" w:ascii="宋体"/>
          <w:bCs/>
          <w:color w:val="auto"/>
          <w:szCs w:val="32"/>
          <w:highlight w:val="none"/>
        </w:rPr>
        <w:t xml:space="preserve">提供符合招标文件要求的资料</w:t>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3"/>
        <w:spacing w:line="360" w:lineRule="auto"/>
        <w:rPr>
          <w:color w:val="auto"/>
          <w:highlight w:val="none"/>
        </w:rPr>
        <w:outlineLvl w:val="1"/>
      </w:pPr>
      <w:r>
        <w:rPr>
          <w:color w:val="auto"/>
          <w:highlight w:val="none"/>
        </w:rPr>
      </w:r>
      <w:r/>
    </w:p>
    <w:p>
      <w:pPr>
        <w:pStyle w:val="874"/>
        <w:spacing w:line="360" w:lineRule="auto"/>
        <w:rPr>
          <w:color w:val="auto"/>
          <w:highlight w:val="none"/>
        </w:rPr>
        <w:outlineLvl w:val="1"/>
      </w:pPr>
      <w:r/>
      <w:bookmarkStart w:id="96" w:name="_Toc5571_WPSOffice_Level2"/>
      <w:r/>
      <w:bookmarkStart w:id="97" w:name="_Toc19673"/>
      <w:r/>
      <w:bookmarkStart w:id="98" w:name="_Toc514054491"/>
      <w:r>
        <w:rPr>
          <w:color w:val="auto"/>
          <w:highlight w:val="none"/>
        </w:rPr>
        <w:t xml:space="preserve">六、无重大违法行为声明</w:t>
      </w:r>
      <w:bookmarkEnd w:id="96"/>
      <w:r/>
      <w:bookmarkEnd w:id="97"/>
      <w:r/>
      <w:bookmarkEnd w:id="98"/>
      <w:r/>
      <w:r/>
    </w:p>
    <w:p>
      <w:pPr>
        <w:pStyle w:val="875"/>
        <w:jc w:val="center"/>
        <w:spacing w:line="360" w:lineRule="auto"/>
        <w:tabs>
          <w:tab w:val="left" w:pos="1498" w:leader="none"/>
        </w:tabs>
        <w:rPr>
          <w:rFonts w:hint="eastAsia"/>
          <w:b/>
          <w:color w:val="auto"/>
          <w:sz w:val="32"/>
          <w:szCs w:val="32"/>
          <w:highlight w:val="none"/>
        </w:rPr>
      </w:pPr>
      <w:r/>
      <w:bookmarkStart w:id="99" w:name="_Toc7575_WPSOffice_Level2"/>
      <w:r>
        <w:rPr>
          <w:rFonts w:hint="eastAsia"/>
          <w:b/>
          <w:color w:val="auto"/>
          <w:sz w:val="32"/>
          <w:szCs w:val="32"/>
          <w:highlight w:val="none"/>
        </w:rPr>
        <w:t xml:space="preserve">无重大违法行为声明</w:t>
      </w:r>
      <w:bookmarkEnd w:id="99"/>
      <w:r/>
      <w:r/>
    </w:p>
    <w:p>
      <w:pPr>
        <w:pStyle w:val="875"/>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u w:val="single"/>
        </w:rPr>
        <w:t xml:space="preserve">   （采购人</w:t>
      </w:r>
      <w:r>
        <w:rPr>
          <w:color w:val="auto"/>
          <w:sz w:val="24"/>
          <w:highlight w:val="none"/>
          <w:u w:val="single"/>
        </w:rPr>
        <w:t xml:space="preserve">名称）</w:t>
      </w:r>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我公司在参加编号为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注：重大违法记录，是指供应商因违法经营受到刑事处罚或者责令停产停业、吊销许可证或者执照、较大数额罚款等行政处罚。</w:t>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5"/>
        <w:ind w:firstLine="60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76"/>
        <w:ind w:firstLine="7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77"/>
        <w:spacing w:line="360" w:lineRule="auto"/>
        <w:rPr>
          <w:color w:val="auto"/>
          <w:highlight w:val="none"/>
        </w:rPr>
        <w:outlineLvl w:val="1"/>
      </w:pPr>
      <w:r>
        <w:rPr>
          <w:color w:val="auto"/>
          <w:highlight w:val="none"/>
        </w:rPr>
        <w:br w:type="page" w:clear="all"/>
      </w:r>
      <w:bookmarkStart w:id="100" w:name="_Toc30396"/>
      <w:r/>
      <w:bookmarkStart w:id="101" w:name="_Toc514054492"/>
      <w:r/>
      <w:bookmarkStart w:id="102" w:name="_Toc31956_WPSOffice_Level2"/>
      <w:r/>
      <w:r/>
    </w:p>
    <w:p>
      <w:pPr>
        <w:pStyle w:val="877"/>
        <w:spacing w:line="360" w:lineRule="auto"/>
        <w:rPr>
          <w:color w:val="auto"/>
          <w:highlight w:val="none"/>
        </w:rPr>
        <w:outlineLvl w:val="1"/>
      </w:pPr>
      <w:r>
        <w:rPr>
          <w:color w:val="auto"/>
          <w:highlight w:val="none"/>
        </w:rPr>
        <w:t xml:space="preserve">七、投标函</w:t>
      </w:r>
      <w:bookmarkEnd w:id="100"/>
      <w:r/>
      <w:bookmarkEnd w:id="101"/>
      <w:r/>
      <w:bookmarkEnd w:id="102"/>
      <w:r/>
      <w:r/>
    </w:p>
    <w:p>
      <w:pPr>
        <w:pStyle w:val="878"/>
        <w:spacing w:line="360" w:lineRule="auto"/>
        <w:tabs>
          <w:tab w:val="left" w:pos="1498" w:leader="none"/>
        </w:tabs>
        <w:rPr>
          <w:rFonts w:hint="eastAsia" w:ascii="仿宋_GB2312" w:eastAsia="仿宋_GB2312"/>
          <w:color w:val="auto"/>
          <w:sz w:val="24"/>
          <w:szCs w:val="22"/>
          <w:highlight w:val="none"/>
        </w:rPr>
      </w:pPr>
      <w:r/>
      <w:bookmarkStart w:id="103" w:name="_Toc514054493"/>
      <w:r/>
      <w:bookmarkStart w:id="104" w:name="_Toc22395"/>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878"/>
        <w:numPr>
          <w:ilvl w:val="0"/>
          <w:numId w:val="5"/>
        </w:numPr>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二、我方没有为本采购项目提供整体设计、规范编制，以及项目管理、监理、检测等服务。 </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三、我方与参与本次采购活动的其他投标人的法定代表人或委托代理人无夫妻、直系血亲关系； </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四、我方与参与本次采购活动的其他投标人的负责人不是同一人，也不存在直接控股、管理关系。 </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878"/>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十一、与本投标有关的正式联系方式为： </w:t>
      </w:r>
      <w:r/>
    </w:p>
    <w:p>
      <w:pPr>
        <w:pStyle w:val="879"/>
        <w:ind w:firstLine="480"/>
        <w:spacing w:line="360" w:lineRule="auto"/>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879"/>
        <w:ind w:firstLine="480"/>
        <w:spacing w:line="360" w:lineRule="auto"/>
        <w:tabs>
          <w:tab w:val="left" w:pos="1498" w:leader="none"/>
        </w:tabs>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十二、我方正式开户银行和帐号为：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（盖章） </w:t>
      </w:r>
      <w:r/>
    </w:p>
    <w:p>
      <w:pPr>
        <w:pStyle w:val="879"/>
        <w:ind w:firstLine="480"/>
        <w:spacing w:line="360" w:lineRule="auto"/>
        <w:tabs>
          <w:tab w:val="left" w:pos="1498" w:leader="none"/>
        </w:tabs>
        <w:rPr>
          <w:rFonts w:hint="eastAsia"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880"/>
        <w:spacing w:line="360" w:lineRule="auto"/>
        <w:rPr>
          <w:color w:val="auto"/>
          <w:highlight w:val="none"/>
        </w:rPr>
        <w:outlineLvl w:val="1"/>
      </w:pPr>
      <w:r>
        <w:rPr>
          <w:rFonts w:hint="eastAsia" w:ascii="仿宋_GB2312" w:hAnsi="Times New Roman" w:eastAsia="仿宋_GB2312"/>
          <w:color w:val="auto"/>
          <w:sz w:val="24"/>
          <w:highlight w:val="none"/>
          <w:lang w:val="en-US" w:eastAsia="zh-CN"/>
        </w:rPr>
        <w:br w:type="page" w:clear="all"/>
      </w:r>
      <w:r>
        <w:rPr>
          <w:color w:val="auto"/>
          <w:highlight w:val="none"/>
        </w:rPr>
        <w:t xml:space="preserve">八、法定代表人身份证明或授权委托书</w:t>
      </w:r>
      <w:bookmarkEnd w:id="103"/>
      <w:r/>
      <w:bookmarkEnd w:id="104"/>
      <w:r/>
      <w:r/>
    </w:p>
    <w:p>
      <w:pPr>
        <w:pStyle w:val="881"/>
        <w:jc w:val="center"/>
        <w:spacing w:line="360" w:lineRule="auto"/>
        <w:rPr>
          <w:rFonts w:ascii="宋体"/>
          <w:b/>
          <w:bCs/>
          <w:color w:val="auto"/>
          <w:sz w:val="32"/>
          <w:szCs w:val="32"/>
          <w:highlight w:val="none"/>
        </w:rPr>
      </w:pPr>
      <w:r/>
      <w:bookmarkStart w:id="105" w:name="_Toc22626_WPSOffice_Level2"/>
      <w:r/>
      <w:r/>
    </w:p>
    <w:p>
      <w:pPr>
        <w:pStyle w:val="881"/>
        <w:jc w:val="center"/>
        <w:spacing w:line="360" w:lineRule="auto"/>
        <w:rPr>
          <w:rFonts w:ascii="宋体"/>
          <w:b/>
          <w:bCs/>
          <w:color w:val="auto"/>
          <w:sz w:val="32"/>
          <w:szCs w:val="32"/>
          <w:highlight w:val="none"/>
        </w:rPr>
      </w:pPr>
      <w:r>
        <w:rPr>
          <w:rFonts w:ascii="宋体"/>
          <w:b/>
          <w:bCs/>
          <w:color w:val="auto"/>
          <w:sz w:val="32"/>
          <w:szCs w:val="32"/>
          <w:highlight w:val="none"/>
        </w:rPr>
        <w:t xml:space="preserve">法定代表人身份证明</w:t>
      </w:r>
      <w:bookmarkEnd w:id="105"/>
      <w:r/>
      <w:r/>
    </w:p>
    <w:p>
      <w:pPr>
        <w:pStyle w:val="882"/>
        <w:spacing w:line="360" w:lineRule="auto"/>
        <w:rPr>
          <w:rFonts w:eastAsia="仿宋_GB2312"/>
          <w:color w:val="auto"/>
          <w:sz w:val="24"/>
          <w:highlight w:val="none"/>
        </w:rPr>
      </w:pPr>
      <w:r>
        <w:rPr>
          <w:rFonts w:eastAsia="仿宋_GB2312"/>
          <w:color w:val="auto"/>
          <w:sz w:val="24"/>
          <w:highlight w:val="none"/>
        </w:rPr>
      </w:r>
      <w:r/>
    </w:p>
    <w:p>
      <w:pPr>
        <w:pStyle w:val="882"/>
        <w:spacing w:line="360" w:lineRule="auto"/>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882"/>
        <w:spacing w:line="360" w:lineRule="auto"/>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882"/>
        <w:spacing w:line="360" w:lineRule="auto"/>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882"/>
        <w:spacing w:line="360" w:lineRule="auto"/>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882"/>
        <w:spacing w:line="360" w:lineRule="auto"/>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882"/>
        <w:spacing w:line="360" w:lineRule="auto"/>
        <w:rPr>
          <w:rFonts w:hint="eastAsia"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882"/>
        <w:spacing w:line="360" w:lineRule="auto"/>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882"/>
        <w:ind w:firstLine="480"/>
        <w:spacing w:line="360" w:lineRule="auto"/>
        <w:rPr>
          <w:rFonts w:hint="eastAsia" w:eastAsia="仿宋_GB2312"/>
          <w:color w:val="auto"/>
          <w:sz w:val="24"/>
          <w:highlight w:val="none"/>
        </w:rPr>
      </w:pPr>
      <w:r>
        <w:rPr>
          <w:rFonts w:eastAsia="仿宋_GB2312"/>
          <w:color w:val="auto"/>
          <w:sz w:val="24"/>
          <w:highlight w:val="none"/>
        </w:rPr>
        <w:t xml:space="preserve">特此证明。</w:t>
      </w:r>
      <w:r/>
    </w:p>
    <w:p>
      <w:pPr>
        <w:pStyle w:val="883"/>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882"/>
        <w:ind w:firstLine="480"/>
        <w:spacing w:line="360" w:lineRule="auto"/>
        <w:rPr>
          <w:rFonts w:eastAsia="仿宋_GB2312"/>
          <w:color w:val="auto"/>
          <w:sz w:val="24"/>
          <w:highlight w:val="none"/>
        </w:rPr>
      </w:pPr>
      <w:r>
        <w:rPr>
          <w:rFonts w:eastAsia="仿宋_GB2312"/>
          <w:color w:val="auto"/>
          <w:sz w:val="24"/>
          <w:highlight w:val="none"/>
        </w:rPr>
      </w:r>
      <w:r/>
    </w:p>
    <w:p>
      <w:pPr>
        <w:pStyle w:val="882"/>
        <w:jc w:val="right"/>
        <w:spacing w:line="360" w:lineRule="auto"/>
        <w:rPr>
          <w:rFonts w:eastAsia="仿宋_GB2312"/>
          <w:color w:val="auto"/>
          <w:sz w:val="24"/>
          <w:highlight w:val="none"/>
        </w:rPr>
      </w:pPr>
      <w:r>
        <w:rPr>
          <w:rFonts w:eastAsia="仿宋_GB2312"/>
          <w:color w:val="auto"/>
          <w:sz w:val="24"/>
          <w:highlight w:val="none"/>
        </w:rPr>
        <w:t xml:space="preserve">                       </w:t>
      </w:r>
      <w:r/>
    </w:p>
    <w:p>
      <w:pPr>
        <w:pStyle w:val="882"/>
        <w:jc w:val="right"/>
        <w:spacing w:line="360" w:lineRule="auto"/>
        <w:rPr>
          <w:rFonts w:eastAsia="仿宋_GB2312"/>
          <w:color w:val="auto"/>
          <w:sz w:val="24"/>
          <w:highlight w:val="none"/>
        </w:rPr>
      </w:pPr>
      <w:r>
        <w:rPr>
          <w:rFonts w:eastAsia="仿宋_GB2312"/>
          <w:color w:val="auto"/>
          <w:sz w:val="24"/>
          <w:highlight w:val="none"/>
        </w:rPr>
      </w:r>
      <w:r/>
    </w:p>
    <w:p>
      <w:pPr>
        <w:pStyle w:val="882"/>
        <w:jc w:val="right"/>
        <w:spacing w:line="360" w:lineRule="auto"/>
        <w:rPr>
          <w:rFonts w:eastAsia="仿宋_GB2312"/>
          <w:color w:val="auto"/>
          <w:sz w:val="24"/>
          <w:highlight w:val="none"/>
        </w:rPr>
      </w:pPr>
      <w:r>
        <w:rPr>
          <w:rFonts w:eastAsia="仿宋_GB2312"/>
          <w:color w:val="auto"/>
          <w:sz w:val="24"/>
          <w:highlight w:val="none"/>
        </w:rPr>
      </w:r>
      <w:r/>
    </w:p>
    <w:p>
      <w:pPr>
        <w:pStyle w:val="883"/>
        <w:ind w:firstLine="445"/>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881"/>
        <w:ind w:firstLine="424"/>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4"/>
        <w:ind w:firstLine="988"/>
        <w:jc w:val="right"/>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81"/>
        <w:jc w:val="center"/>
        <w:spacing w:line="360" w:lineRule="auto"/>
        <w:rPr>
          <w:rFonts w:ascii="仿宋_GB2312" w:eastAsia="仿宋_GB2312"/>
          <w:color w:val="auto"/>
          <w:sz w:val="24"/>
          <w:highlight w:val="none"/>
        </w:rPr>
      </w:pPr>
      <w:r>
        <w:rPr>
          <w:rFonts w:ascii="仿宋_GB2312" w:eastAsia="仿宋_GB2312"/>
          <w:color w:val="auto"/>
          <w:sz w:val="24"/>
          <w:highlight w:val="none"/>
        </w:rPr>
        <w:br w:type="page" w:clear="all"/>
      </w:r>
      <w:bookmarkStart w:id="106" w:name="_Toc406_WPSOffice_Level2"/>
      <w:r/>
      <w:r/>
    </w:p>
    <w:p>
      <w:pPr>
        <w:pStyle w:val="881"/>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p>
      <w:pPr>
        <w:pStyle w:val="881"/>
        <w:jc w:val="center"/>
        <w:spacing w:line="360" w:lineRule="auto"/>
        <w:rPr>
          <w:rFonts w:hint="eastAsia" w:ascii="宋体"/>
          <w:b/>
          <w:bCs/>
          <w:color w:val="auto"/>
          <w:sz w:val="32"/>
          <w:szCs w:val="32"/>
          <w:highlight w:val="none"/>
        </w:rPr>
      </w:pPr>
      <w:r>
        <w:rPr>
          <w:rFonts w:hint="eastAsia" w:ascii="宋体"/>
          <w:b/>
          <w:bCs/>
          <w:color w:val="auto"/>
          <w:sz w:val="32"/>
          <w:szCs w:val="32"/>
          <w:highlight w:val="none"/>
        </w:rPr>
        <w:t xml:space="preserve">法定代表人授权委托书</w:t>
      </w:r>
      <w:bookmarkEnd w:id="106"/>
      <w:r/>
      <w:r/>
    </w:p>
    <w:p>
      <w:pPr>
        <w:pStyle w:val="881"/>
        <w:spacing w:line="360" w:lineRule="auto"/>
        <w:rPr>
          <w:rFonts w:hint="eastAsia" w:ascii="方正大标宋简体" w:eastAsia="方正大标宋简体"/>
          <w:color w:val="auto"/>
          <w:sz w:val="32"/>
          <w:highlight w:val="none"/>
        </w:rPr>
      </w:pPr>
      <w:r>
        <w:rPr>
          <w:rFonts w:hint="eastAsia" w:ascii="方正大标宋简体" w:eastAsia="方正大标宋简体"/>
          <w:color w:val="auto"/>
          <w:sz w:val="32"/>
          <w:highlight w:val="none"/>
        </w:rPr>
      </w:r>
      <w:r/>
    </w:p>
    <w:p>
      <w:pPr>
        <w:pStyle w:val="882"/>
        <w:spacing w:line="360" w:lineRule="auto"/>
        <w:rPr>
          <w:rFonts w:hint="eastAsia"/>
          <w:color w:val="auto"/>
          <w:sz w:val="32"/>
          <w:szCs w:val="32"/>
          <w:highlight w:val="none"/>
          <w:u w:val="single"/>
        </w:rPr>
      </w:pPr>
      <w:r>
        <w:rPr>
          <w:rFonts w:hint="eastAsia"/>
          <w:color w:val="auto"/>
          <w:sz w:val="32"/>
          <w:szCs w:val="32"/>
          <w:highlight w:val="none"/>
          <w:u w:val="single"/>
        </w:rPr>
        <w:t xml:space="preserve">          </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881"/>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u w:val="single"/>
        </w:rPr>
        <w:t xml:space="preserve">      （单位名称）</w:t>
      </w:r>
      <w:r>
        <w:rPr>
          <w:rFonts w:hint="eastAsia" w:ascii="仿宋_GB2312" w:eastAsia="仿宋_GB2312"/>
          <w:color w:val="auto"/>
          <w:sz w:val="24"/>
          <w:highlight w:val="none"/>
        </w:rPr>
        <w:t xml:space="preserve">法定代表人授权我单位</w:t>
      </w:r>
      <w:r>
        <w:rPr>
          <w:rFonts w:hint="eastAsia" w:ascii="仿宋_GB2312" w:eastAsia="仿宋_GB2312"/>
          <w:color w:val="auto"/>
          <w:sz w:val="24"/>
          <w:highlight w:val="none"/>
          <w:u w:val="single"/>
        </w:rPr>
        <w:t xml:space="preserve">    （职务或职称）   （姓名）</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公开招标活动的一切事宜。</w:t>
      </w:r>
      <w:r/>
    </w:p>
    <w:p>
      <w:pPr>
        <w:pStyle w:val="881"/>
        <w:ind w:firstLine="63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881"/>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85"/>
        <w:ind w:firstLine="482"/>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t xml:space="preserve">（授权委托人出席开标会议的提供。附法定代表人、授权委托人身份证扫描件。如为授权委托人参加投标的，须提供开标前6个月内任意一个月投标人单位为授权委托人缴纳的社保证明材料）</w:t>
      </w:r>
      <w:r/>
    </w:p>
    <w:p>
      <w:pPr>
        <w:pStyle w:val="885"/>
        <w:ind w:firstLine="630"/>
        <w:spacing w:line="360" w:lineRule="auto"/>
        <w:rPr>
          <w:rFonts w:hint="eastAsia" w:ascii="仿宋_GB2312" w:eastAsia="仿宋_GB2312"/>
          <w:b/>
          <w:color w:val="auto"/>
          <w:sz w:val="24"/>
          <w:highlight w:val="none"/>
        </w:rPr>
      </w:pPr>
      <w:r>
        <w:rPr>
          <w:rFonts w:hint="eastAsia" w:ascii="仿宋_GB2312" w:eastAsia="仿宋_GB2312"/>
          <w:b/>
          <w:color w:val="auto"/>
          <w:sz w:val="24"/>
          <w:highlight w:val="none"/>
        </w:rPr>
      </w:r>
      <w:r/>
    </w:p>
    <w:p>
      <w:pPr>
        <w:pStyle w:val="881"/>
        <w:ind w:firstLine="62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（盖章）</w:t>
      </w:r>
      <w:r/>
    </w:p>
    <w:p>
      <w:pPr>
        <w:pStyle w:val="881"/>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1"/>
        <w:ind w:firstLine="629"/>
        <w:jc w:val="right"/>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法人授权代表：</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p>
    <w:p>
      <w:pPr>
        <w:pStyle w:val="886"/>
        <w:ind w:firstLine="720"/>
        <w:jc w:val="right"/>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87"/>
        <w:spacing w:line="360" w:lineRule="auto"/>
        <w:rPr>
          <w:rFonts w:hint="eastAsia" w:eastAsia="黑体"/>
          <w:color w:val="auto"/>
          <w:highlight w:val="none"/>
          <w:lang w:eastAsia="zh-CN"/>
        </w:rPr>
        <w:outlineLvl w:val="1"/>
      </w:pPr>
      <w:r>
        <w:rPr>
          <w:color w:val="auto"/>
          <w:highlight w:val="none"/>
        </w:rPr>
        <w:br w:type="page" w:clear="all"/>
      </w:r>
      <w:bookmarkStart w:id="107" w:name="_Toc12853"/>
      <w:r/>
      <w:bookmarkStart w:id="108" w:name="_Toc514054494"/>
      <w:r>
        <w:rPr>
          <w:color w:val="auto"/>
          <w:highlight w:val="none"/>
        </w:rPr>
        <w:t xml:space="preserve">九、开标一览表</w:t>
      </w:r>
      <w:bookmarkEnd w:id="107"/>
      <w:r/>
      <w:bookmarkEnd w:id="108"/>
      <w:r>
        <w:rPr>
          <w:rFonts w:hint="eastAsia"/>
          <w:color w:val="auto"/>
          <w:highlight w:val="none"/>
          <w:lang w:eastAsia="zh-CN"/>
        </w:rPr>
        <w:t xml:space="preserve">（</w:t>
      </w:r>
      <w:r>
        <w:rPr>
          <w:rFonts w:hint="eastAsia"/>
          <w:color w:val="auto"/>
          <w:highlight w:val="none"/>
          <w:lang w:val="en-US" w:eastAsia="zh-CN"/>
        </w:rPr>
        <w:t xml:space="preserve">总价</w:t>
      </w:r>
      <w:r>
        <w:rPr>
          <w:rFonts w:hint="eastAsia"/>
          <w:color w:val="auto"/>
          <w:highlight w:val="none"/>
          <w:lang w:eastAsia="zh-CN"/>
        </w:rPr>
        <w:t xml:space="preserve">）</w:t>
      </w:r>
      <w:r/>
    </w:p>
    <w:p>
      <w:pPr>
        <w:pStyle w:val="887"/>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r>
      <w:r/>
    </w:p>
    <w:p>
      <w:pPr>
        <w:pStyle w:val="887"/>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项目编号：</w:t>
      </w:r>
      <w:r>
        <w:rPr>
          <w:rFonts w:hint="eastAsia" w:ascii="宋体" w:hAnsi="宋体" w:eastAsia="宋体" w:cs="宋体"/>
          <w:b w:val="0"/>
          <w:bCs/>
          <w:color w:val="auto"/>
          <w:sz w:val="24"/>
          <w:highlight w:val="none"/>
          <w:shd w:val="clear" w:color="auto" w:fill="ffffff" w:themeFill="background1"/>
        </w:rPr>
        <w:t xml:space="preserve">JSZC-320900-JSHY-G2025-0490</w:t>
      </w:r>
      <w:r>
        <w:rPr>
          <w:rFonts w:hint="eastAsia" w:ascii="宋体" w:hAnsi="宋体" w:eastAsia="宋体" w:cs="宋体"/>
          <w:b w:val="0"/>
          <w:bCs/>
          <w:color w:val="auto"/>
          <w:sz w:val="24"/>
          <w:highlight w:val="none"/>
          <w:shd w:val="clear" w:color="auto" w:fill="ffffff" w:themeFill="background1"/>
        </w:rPr>
      </w:r>
      <w:r/>
    </w:p>
    <w:p>
      <w:pPr>
        <w:pStyle w:val="887"/>
        <w:jc w:val="both"/>
        <w:spacing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货币单位：人民币元                       </w:t>
      </w:r>
      <w:r/>
    </w:p>
    <w:tbl>
      <w:tblPr>
        <w:tblStyle w:val="69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58"/>
        <w:gridCol w:w="2172"/>
        <w:gridCol w:w="2466"/>
      </w:tblGrid>
      <w:tr>
        <w:trPr/>
        <w:tc>
          <w:tcPr>
            <w:tcW w:w="3658"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bookmarkStart w:id="109" w:name="OLE_LINK35"/>
            <w:r>
              <w:rPr>
                <w:rFonts w:hint="eastAsia" w:ascii="宋体" w:hAnsi="宋体" w:eastAsia="宋体" w:cs="宋体"/>
                <w:b w:val="0"/>
                <w:bCs/>
                <w:color w:val="auto"/>
                <w:sz w:val="24"/>
                <w:highlight w:val="none"/>
                <w:shd w:val="clear" w:color="auto" w:fill="ffffff" w:themeFill="background1"/>
              </w:rPr>
              <w:t xml:space="preserve">项目名称</w:t>
            </w:r>
            <w:bookmarkEnd w:id="109"/>
            <w:r/>
            <w:r/>
          </w:p>
        </w:tc>
        <w:tc>
          <w:tcPr>
            <w:tcW w:w="2172"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项目内容</w:t>
            </w:r>
            <w:r/>
          </w:p>
        </w:tc>
        <w:tc>
          <w:tcPr>
            <w:tcW w:w="2466"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总价（小写）</w:t>
            </w:r>
            <w:r/>
          </w:p>
        </w:tc>
      </w:tr>
      <w:tr>
        <w:trPr>
          <w:trHeight w:val="840"/>
        </w:trPr>
        <w:tc>
          <w:tcPr>
            <w:tcW w:w="3658"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lang w:eastAsia="zh-CN"/>
              </w:rPr>
              <w:t xml:space="preserve"> 盐城市中医院美容科医用激光仪器采购项目</w:t>
            </w:r>
            <w:r/>
          </w:p>
        </w:tc>
        <w:tc>
          <w:tcPr>
            <w:tcW w:w="2172"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详见投标文件</w:t>
            </w:r>
            <w:r/>
          </w:p>
        </w:tc>
        <w:tc>
          <w:tcPr>
            <w:tcW w:w="2466"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_______________元</w:t>
            </w:r>
            <w:r/>
          </w:p>
        </w:tc>
      </w:tr>
      <w:tr>
        <w:trPr/>
        <w:tc>
          <w:tcPr>
            <w:tcW w:w="3658" w:type="dxa"/>
            <w:vAlign w:val="center"/>
            <w:textDirection w:val="lrTb"/>
            <w:noWrap w:val="false"/>
          </w:tcPr>
          <w:p>
            <w:pPr>
              <w:pStyle w:val="887"/>
              <w:jc w:val="center"/>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总价（大写）：</w:t>
            </w:r>
            <w:r/>
          </w:p>
        </w:tc>
        <w:tc>
          <w:tcPr>
            <w:gridSpan w:val="2"/>
            <w:tcW w:w="4638" w:type="dxa"/>
            <w:vAlign w:val="center"/>
            <w:textDirection w:val="lrTb"/>
            <w:noWrap w:val="false"/>
          </w:tcPr>
          <w:p>
            <w:pPr>
              <w:pStyle w:val="887"/>
              <w:jc w:val="both"/>
              <w:spacing w:before="100" w:after="100" w:line="360" w:lineRule="auto"/>
              <w:rPr>
                <w:rFonts w:hint="eastAsia" w:ascii="宋体" w:hAnsi="宋体" w:eastAsia="宋体" w:cs="宋体"/>
                <w:b w:val="0"/>
                <w:bCs/>
                <w:color w:val="auto"/>
                <w:sz w:val="24"/>
                <w:highlight w:val="none"/>
                <w:shd w:val="clear" w:color="auto" w:fill="ffffff" w:themeFill="background1"/>
              </w:rPr>
              <w:outlineLvl w:val="1"/>
            </w:pPr>
            <w:r>
              <w:rPr>
                <w:rFonts w:hint="eastAsia" w:ascii="宋体" w:hAnsi="宋体" w:eastAsia="宋体" w:cs="宋体"/>
                <w:b w:val="0"/>
                <w:bCs/>
                <w:color w:val="auto"/>
                <w:sz w:val="24"/>
                <w:highlight w:val="none"/>
                <w:shd w:val="clear" w:color="auto" w:fill="ffffff" w:themeFill="background1"/>
              </w:rPr>
              <w:t xml:space="preserve">金额大写</w:t>
            </w:r>
            <w:r/>
          </w:p>
        </w:tc>
      </w:tr>
    </w:tbl>
    <w:p>
      <w:pPr>
        <w:pStyle w:val="690"/>
        <w:jc w:val="right"/>
        <w:spacing w:line="360" w:lineRule="auto"/>
        <w:rPr>
          <w:color w:val="auto"/>
          <w:shd w:val="clear" w:color="auto" w:fill="ffffff" w:themeFill="background1"/>
        </w:rPr>
      </w:pPr>
      <w:r>
        <w:rPr>
          <w:color w:val="auto"/>
          <w:shd w:val="clear" w:color="auto" w:fill="ffffff" w:themeFill="background1"/>
        </w:rPr>
        <w:t xml:space="preserve"> </w:t>
      </w:r>
      <w:r/>
    </w:p>
    <w:p>
      <w:pPr>
        <w:jc w:val="right"/>
        <w:spacing w:line="360" w:lineRule="auto"/>
        <w:rPr>
          <w:color w:val="auto"/>
          <w:sz w:val="24"/>
        </w:rPr>
      </w:pPr>
      <w:r>
        <w:rPr>
          <w:rFonts w:hint="eastAsia"/>
          <w:color w:val="auto"/>
          <w:sz w:val="24"/>
        </w:rPr>
        <w:t xml:space="preserve">投标人公章：（电子签章）                                 </w:t>
      </w:r>
      <w:r/>
    </w:p>
    <w:p>
      <w:pPr>
        <w:jc w:val="right"/>
        <w:spacing w:line="360" w:lineRule="auto"/>
        <w:rPr>
          <w:color w:val="auto"/>
          <w:sz w:val="24"/>
        </w:rPr>
      </w:pPr>
      <w:r>
        <w:rPr>
          <w:color w:val="auto"/>
          <w:sz w:val="24"/>
        </w:rPr>
      </w:r>
      <w:r/>
    </w:p>
    <w:p>
      <w:pPr>
        <w:jc w:val="right"/>
        <w:spacing w:line="360" w:lineRule="auto"/>
        <w:rPr>
          <w:color w:val="auto"/>
          <w:sz w:val="24"/>
        </w:rPr>
      </w:pPr>
      <w:r>
        <w:rPr>
          <w:color w:val="auto"/>
          <w:sz w:val="24"/>
        </w:rPr>
      </w:r>
      <w:r/>
    </w:p>
    <w:p>
      <w:pPr>
        <w:jc w:val="center"/>
        <w:spacing w:line="360" w:lineRule="auto"/>
        <w:rPr>
          <w:color w:val="auto"/>
          <w:sz w:val="24"/>
        </w:rPr>
      </w:pPr>
      <w:r>
        <w:rPr>
          <w:rFonts w:hint="eastAsia"/>
          <w:color w:val="auto"/>
          <w:sz w:val="24"/>
          <w:lang w:val="en-US" w:eastAsia="zh-CN"/>
        </w:rPr>
        <w:t xml:space="preserve">                                           </w:t>
      </w:r>
      <w:r>
        <w:rPr>
          <w:rFonts w:hint="eastAsia"/>
          <w:color w:val="auto"/>
          <w:sz w:val="24"/>
        </w:rPr>
        <w:t xml:space="preserve">日期：       年      月      日</w:t>
      </w:r>
      <w:r/>
    </w:p>
    <w:p>
      <w:pPr>
        <w:pStyle w:val="888"/>
        <w:spacing w:line="360" w:lineRule="auto"/>
        <w:rPr>
          <w:color w:val="auto"/>
          <w:highlight w:val="none"/>
        </w:rPr>
        <w:outlineLvl w:val="1"/>
      </w:pPr>
      <w:r>
        <w:rPr>
          <w:color w:val="auto"/>
          <w:highlight w:val="none"/>
        </w:rPr>
      </w:r>
      <w:r/>
    </w:p>
    <w:p>
      <w:pPr>
        <w:pStyle w:val="888"/>
        <w:spacing w:line="360" w:lineRule="auto"/>
        <w:rPr>
          <w:color w:val="auto"/>
          <w:highlight w:val="none"/>
        </w:rPr>
        <w:outlineLvl w:val="1"/>
      </w:pPr>
      <w:r>
        <w:rPr>
          <w:color w:val="auto"/>
          <w:highlight w:val="none"/>
        </w:rPr>
      </w:r>
      <w:r/>
    </w:p>
    <w:p>
      <w:pPr>
        <w:pStyle w:val="888"/>
        <w:spacing w:line="360" w:lineRule="auto"/>
        <w:rPr>
          <w:color w:val="auto"/>
          <w:highlight w:val="none"/>
        </w:rPr>
        <w:outlineLvl w:val="1"/>
      </w:pPr>
      <w:r>
        <w:rPr>
          <w:color w:val="auto"/>
          <w:highlight w:val="none"/>
        </w:rPr>
        <w:br w:type="page" w:clear="all"/>
      </w:r>
      <w:bookmarkStart w:id="110" w:name="_Toc514054495"/>
      <w:r/>
      <w:bookmarkStart w:id="111" w:name="_Toc8851"/>
      <w:r/>
      <w:r/>
    </w:p>
    <w:p>
      <w:pPr>
        <w:pStyle w:val="888"/>
        <w:spacing w:line="360" w:lineRule="auto"/>
        <w:rPr>
          <w:color w:val="auto"/>
          <w:highlight w:val="none"/>
        </w:rPr>
        <w:outlineLvl w:val="1"/>
      </w:pPr>
      <w:r>
        <w:rPr>
          <w:color w:val="auto"/>
          <w:highlight w:val="none"/>
        </w:rPr>
        <w:t xml:space="preserve">十、明细报价表</w:t>
      </w:r>
      <w:bookmarkEnd w:id="110"/>
      <w:r/>
      <w:bookmarkEnd w:id="111"/>
      <w:r/>
      <w:r/>
    </w:p>
    <w:tbl>
      <w:tblPr>
        <w:tblStyle w:val="671"/>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560"/>
        <w:gridCol w:w="1812"/>
        <w:gridCol w:w="1944"/>
        <w:gridCol w:w="1128"/>
        <w:gridCol w:w="1200"/>
        <w:gridCol w:w="1424"/>
      </w:tblGrid>
      <w:tr>
        <w:trPr>
          <w:cantSplit/>
          <w:jc w:val="center"/>
          <w:trHeight w:val="632"/>
        </w:trPr>
        <w:tc>
          <w:tcPr>
            <w:tcW w:w="656"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560"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1812"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w:t>
            </w:r>
            <w:r/>
          </w:p>
        </w:tc>
        <w:tc>
          <w:tcPr>
            <w:tcW w:w="1944"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制造商/产地</w:t>
            </w:r>
            <w:r/>
          </w:p>
        </w:tc>
        <w:tc>
          <w:tcPr>
            <w:tcW w:w="1128"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200"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1424" w:type="dxa"/>
            <w:vAlign w:val="center"/>
            <w:textDirection w:val="lrTb"/>
            <w:noWrap w:val="false"/>
          </w:tcPr>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合价</w:t>
            </w:r>
            <w:r/>
          </w:p>
          <w:p>
            <w:pPr>
              <w:pStyle w:val="889"/>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r>
      <w:tr>
        <w:trPr>
          <w:cantSplit/>
          <w:jc w:val="center"/>
          <w:trHeight w:val="482"/>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70"/>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308"/>
        </w:trPr>
        <w:tc>
          <w:tcPr>
            <w:tcW w:w="656" w:type="dxa"/>
            <w:vAlign w:val="top"/>
            <w:textDirection w:val="lrTb"/>
            <w:noWrap w:val="false"/>
          </w:tcPr>
          <w:p>
            <w:pPr>
              <w:pStyle w:val="889"/>
              <w:spacing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r>
            <w:r/>
          </w:p>
        </w:tc>
        <w:tc>
          <w:tcPr>
            <w:tcW w:w="1560"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t xml:space="preserve">安装调试费</w:t>
            </w:r>
            <w:r/>
          </w:p>
        </w:tc>
        <w:tc>
          <w:tcPr>
            <w:tcW w:w="1812"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top"/>
            <w:textDirection w:val="lrTb"/>
            <w:noWrap w:val="false"/>
          </w:tcPr>
          <w:p>
            <w:pPr>
              <w:pStyle w:val="889"/>
              <w:jc w:val="center"/>
              <w:spacing w:line="360" w:lineRule="auto"/>
              <w:widowControl/>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889"/>
              <w:jc w:val="center"/>
              <w:spacing w:line="360" w:lineRule="auto"/>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t xml:space="preserve">…</w:t>
            </w:r>
            <w:r/>
          </w:p>
        </w:tc>
        <w:tc>
          <w:tcPr>
            <w:tcW w:w="1560" w:type="dxa"/>
            <w:vAlign w:val="center"/>
            <w:textDirection w:val="lrTb"/>
            <w:noWrap w:val="false"/>
          </w:tcPr>
          <w:p>
            <w:pPr>
              <w:pStyle w:val="889"/>
              <w:jc w:val="center"/>
              <w:spacing w:line="360" w:lineRule="auto"/>
              <w:rPr>
                <w:rFonts w:hint="eastAsia" w:ascii="仿宋_GB2312" w:eastAsia="仿宋_GB2312"/>
                <w:iCs/>
                <w:color w:val="auto"/>
                <w:sz w:val="24"/>
                <w:highlight w:val="none"/>
              </w:rPr>
            </w:pPr>
            <w:r>
              <w:rPr>
                <w:rFonts w:hint="eastAsia" w:ascii="仿宋_GB2312" w:eastAsia="仿宋_GB2312"/>
                <w:iCs/>
                <w:color w:val="auto"/>
                <w:sz w:val="24"/>
                <w:highlight w:val="none"/>
              </w:rPr>
              <w:t xml:space="preserve">税金</w:t>
            </w:r>
            <w:r/>
          </w:p>
        </w:tc>
        <w:tc>
          <w:tcPr>
            <w:tcW w:w="1812" w:type="dxa"/>
            <w:vAlign w:val="center"/>
            <w:textDirection w:val="lrTb"/>
            <w:noWrap w:val="false"/>
          </w:tcPr>
          <w:p>
            <w:pPr>
              <w:pStyle w:val="889"/>
              <w:jc w:val="center"/>
              <w:spacing w:line="360" w:lineRule="auto"/>
              <w:rPr>
                <w:rFonts w:hint="eastAsia" w:ascii="仿宋_GB2312" w:eastAsia="仿宋_GB2312"/>
                <w:i/>
                <w:iCs/>
                <w:color w:val="auto"/>
                <w:sz w:val="24"/>
                <w:highlight w:val="none"/>
              </w:rPr>
            </w:pPr>
            <w:r>
              <w:rPr>
                <w:rFonts w:hint="eastAsia" w:ascii="仿宋_GB2312" w:eastAsia="仿宋_GB2312"/>
                <w:i/>
                <w:iCs/>
                <w:color w:val="auto"/>
                <w:sz w:val="24"/>
                <w:highlight w:val="none"/>
              </w:rPr>
            </w:r>
            <w:r/>
          </w:p>
        </w:tc>
        <w:tc>
          <w:tcPr>
            <w:tcW w:w="19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128"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889"/>
              <w:jc w:val="center"/>
              <w:spacing w:line="360" w:lineRule="auto"/>
              <w:rPr>
                <w:rFonts w:hint="eastAsia" w:ascii="仿宋_GB2312" w:eastAsia="仿宋_GB2312"/>
                <w:i/>
                <w:iCs/>
                <w:color w:val="auto"/>
                <w:sz w:val="28"/>
                <w:szCs w:val="28"/>
                <w:highlight w:val="none"/>
              </w:rPr>
            </w:pPr>
            <w:r>
              <w:rPr>
                <w:rFonts w:hint="eastAsia" w:ascii="仿宋_GB2312" w:eastAsia="仿宋_GB2312"/>
                <w:i/>
                <w:iCs/>
                <w:color w:val="auto"/>
                <w:sz w:val="28"/>
                <w:szCs w:val="28"/>
                <w:highlight w:val="none"/>
              </w:rPr>
            </w:r>
            <w:r/>
          </w:p>
        </w:tc>
        <w:tc>
          <w:tcPr>
            <w:gridSpan w:val="4"/>
            <w:tcW w:w="644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tcW w:w="1200"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c>
          <w:tcPr>
            <w:tcW w:w="1424" w:type="dxa"/>
            <w:vAlign w:val="center"/>
            <w:textDirection w:val="lrTb"/>
            <w:noWrap w:val="false"/>
          </w:tcPr>
          <w:p>
            <w:pPr>
              <w:pStyle w:val="889"/>
              <w:jc w:val="center"/>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tc>
      </w:tr>
      <w:tr>
        <w:trPr>
          <w:cantSplit/>
          <w:jc w:val="center"/>
          <w:trHeight w:val="470"/>
        </w:trPr>
        <w:tc>
          <w:tcPr>
            <w:gridSpan w:val="2"/>
            <w:tcW w:w="2216" w:type="dxa"/>
            <w:vAlign w:val="center"/>
            <w:textDirection w:val="lrTb"/>
            <w:noWrap w:val="false"/>
          </w:tcPr>
          <w:p>
            <w:pPr>
              <w:pStyle w:val="889"/>
              <w:jc w:val="center"/>
              <w:spacing w:line="360" w:lineRule="auto"/>
              <w:rPr>
                <w:rFonts w:hint="eastAsia" w:ascii="仿宋_GB2312" w:eastAsia="仿宋_GB2312"/>
                <w:b/>
                <w:bCs/>
                <w:color w:val="auto"/>
                <w:sz w:val="28"/>
                <w:szCs w:val="28"/>
                <w:highlight w:val="none"/>
              </w:rPr>
            </w:pPr>
            <w:r>
              <w:rPr>
                <w:rFonts w:hint="eastAsia" w:ascii="仿宋_GB2312" w:eastAsia="仿宋_GB2312"/>
                <w:b/>
                <w:bCs/>
                <w:color w:val="auto"/>
                <w:sz w:val="28"/>
                <w:szCs w:val="28"/>
                <w:highlight w:val="none"/>
              </w:rPr>
              <w:t xml:space="preserve">投标</w:t>
            </w:r>
            <w:r/>
          </w:p>
          <w:p>
            <w:pPr>
              <w:pStyle w:val="889"/>
              <w:jc w:val="center"/>
              <w:spacing w:line="360" w:lineRule="auto"/>
              <w:rPr>
                <w:rFonts w:hint="eastAsia" w:ascii="仿宋_GB2312" w:eastAsia="仿宋_GB2312"/>
                <w:b/>
                <w:bCs/>
                <w:color w:val="auto"/>
                <w:sz w:val="24"/>
                <w:highlight w:val="none"/>
              </w:rPr>
            </w:pPr>
            <w:r>
              <w:rPr>
                <w:rFonts w:hint="eastAsia" w:ascii="仿宋_GB2312" w:eastAsia="仿宋_GB2312"/>
                <w:b/>
                <w:bCs/>
                <w:color w:val="auto"/>
                <w:sz w:val="28"/>
                <w:szCs w:val="28"/>
                <w:highlight w:val="none"/>
              </w:rPr>
              <w:t xml:space="preserve">报价总计</w:t>
            </w:r>
            <w:r/>
          </w:p>
        </w:tc>
        <w:tc>
          <w:tcPr>
            <w:gridSpan w:val="5"/>
            <w:tcW w:w="7508" w:type="dxa"/>
            <w:vAlign w:val="center"/>
            <w:textDirection w:val="lrTb"/>
            <w:noWrap w:val="false"/>
          </w:tcPr>
          <w:p>
            <w:pPr>
              <w:pStyle w:val="889"/>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889"/>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889"/>
              <w:spacing w:line="360" w:lineRule="auto"/>
              <w:rPr>
                <w:rFonts w:hint="eastAsia"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bl>
    <w:p>
      <w:pPr>
        <w:pStyle w:val="871"/>
        <w:ind w:firstLine="629"/>
        <w:spacing w:line="360" w:lineRule="auto"/>
        <w:rPr>
          <w:rFonts w:hint="eastAsia" w:ascii="仿宋_GB2312" w:eastAsia="仿宋_GB2312"/>
          <w:color w:val="auto"/>
          <w:sz w:val="24"/>
          <w:highlight w:val="none"/>
        </w:rPr>
      </w:pPr>
      <w:r/>
      <w:bookmarkStart w:id="112" w:name="_Toc514054496"/>
      <w:r>
        <w:rPr>
          <w:rFonts w:hint="eastAsia" w:ascii="仿宋_GB2312" w:eastAsia="仿宋_GB2312"/>
          <w:color w:val="auto"/>
          <w:sz w:val="24"/>
          <w:highlight w:val="none"/>
        </w:rPr>
        <w:t xml:space="preserve">注：投标人应分项进行填报，表中表格行数可自行添加。招标文件中未列出的相关辅助材料和在实施过程中涉及到的其它一切费用应在报价时一并考虑，项目实施过程中不再单独结算。</w:t>
      </w:r>
      <w:r>
        <w:rPr>
          <w:rFonts w:hint="eastAsia" w:ascii="仿宋_GB2312" w:eastAsia="仿宋_GB2312"/>
          <w:b/>
          <w:bCs/>
          <w:color w:val="auto"/>
          <w:sz w:val="24"/>
          <w:highlight w:val="none"/>
        </w:rPr>
        <w:t xml:space="preserve">表中投标报价总计应与对应报价一览表中投标总价一致。</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90"/>
        <w:spacing w:line="360" w:lineRule="auto"/>
        <w:rPr>
          <w:color w:val="auto"/>
          <w:highlight w:val="none"/>
        </w:rPr>
        <w:outlineLvl w:val="1"/>
      </w:pPr>
      <w:r>
        <w:rPr>
          <w:color w:val="auto"/>
          <w:highlight w:val="none"/>
        </w:rPr>
      </w:r>
      <w:r/>
    </w:p>
    <w:p>
      <w:pPr>
        <w:pStyle w:val="890"/>
        <w:ind w:firstLine="0"/>
        <w:spacing w:line="360" w:lineRule="auto"/>
        <w:rPr>
          <w:color w:val="auto"/>
          <w:highlight w:val="none"/>
        </w:rPr>
        <w:outlineLvl w:val="1"/>
      </w:pPr>
      <w:r>
        <w:rPr>
          <w:color w:val="auto"/>
          <w:highlight w:val="none"/>
        </w:rPr>
        <w:br w:type="page" w:clear="all"/>
      </w:r>
      <w:bookmarkStart w:id="113" w:name="_Toc10632"/>
      <w:r>
        <w:rPr>
          <w:color w:val="auto"/>
          <w:highlight w:val="none"/>
        </w:rPr>
        <w:t xml:space="preserve">十一、中小企业声明函</w:t>
      </w:r>
      <w:bookmarkEnd w:id="112"/>
      <w:r/>
      <w:bookmarkEnd w:id="113"/>
      <w:r/>
      <w:r/>
    </w:p>
    <w:p>
      <w:pPr>
        <w:jc w:val="center"/>
        <w:spacing w:line="360" w:lineRule="auto"/>
        <w:rPr>
          <w:rStyle w:val="891"/>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jc w:val="center"/>
        <w:spacing w:line="360" w:lineRule="auto"/>
        <w:rPr>
          <w:rStyle w:val="891"/>
          <w:rFonts w:hint="eastAsia" w:ascii="楷体" w:hAnsi="楷体" w:eastAsia="楷体" w:cs="楷体"/>
          <w:color w:val="auto"/>
          <w:sz w:val="32"/>
          <w:szCs w:val="32"/>
          <w:highlight w:val="none"/>
        </w:rPr>
      </w:pPr>
      <w:r>
        <w:rPr>
          <w:rStyle w:val="891"/>
          <w:rFonts w:hint="eastAsia" w:ascii="楷体" w:hAnsi="楷体" w:eastAsia="楷体" w:cs="楷体"/>
          <w:color w:val="auto"/>
          <w:sz w:val="32"/>
          <w:szCs w:val="32"/>
          <w:highlight w:val="none"/>
          <w:lang w:bidi="ar"/>
        </w:rPr>
        <w:t xml:space="preserve">中小企业声明函（货物）</w:t>
      </w:r>
      <w:r/>
    </w:p>
    <w:p>
      <w:pPr>
        <w:jc w:val="center"/>
        <w:spacing w:line="360" w:lineRule="auto"/>
        <w:rPr>
          <w:rStyle w:val="891"/>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ind w:firstLine="480"/>
        <w:jc w:val="left"/>
        <w:spacing w:before="100" w:beforeAutospacing="1" w:after="100" w:afterAutospacing="1" w:line="360" w:lineRule="auto"/>
        <w:widowControl/>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 xml:space="preserve">本公司（联合体）郑重声明，根据《政府采购促进中小企业发展管理办法》（财库﹝2020﹞46 号）的规定，本公司（联合体）参加</w:t>
      </w:r>
      <w:r>
        <w:rPr>
          <w:rFonts w:hint="eastAsia" w:ascii="仿宋_GB2312" w:eastAsia="仿宋_GB2312"/>
          <w:color w:val="auto"/>
          <w:sz w:val="24"/>
          <w:szCs w:val="24"/>
          <w:highlight w:val="none"/>
          <w:u w:val="single"/>
        </w:rPr>
        <w:t xml:space="preserve">    （单位名称）</w:t>
      </w:r>
      <w:r>
        <w:rPr>
          <w:rFonts w:hint="eastAsia" w:ascii="仿宋" w:hAnsi="仿宋" w:eastAsia="仿宋" w:cs="仿宋"/>
          <w:color w:val="auto"/>
          <w:sz w:val="24"/>
          <w:szCs w:val="24"/>
          <w:highlight w:val="none"/>
          <w:lang w:bidi="ar"/>
        </w:rPr>
        <w:t xml:space="preserve">的</w:t>
      </w:r>
      <w:r>
        <w:rPr>
          <w:rFonts w:hint="eastAsia" w:ascii="仿宋" w:hAnsi="仿宋" w:eastAsia="仿宋" w:cs="仿宋"/>
          <w:color w:val="auto"/>
          <w:sz w:val="24"/>
          <w:szCs w:val="24"/>
          <w:highlight w:val="none"/>
          <w:u w:val="single"/>
          <w:lang w:bidi="ar"/>
        </w:rPr>
        <w:t xml:space="preserve"> </w:t>
      </w:r>
      <w:r>
        <w:rPr>
          <w:rFonts w:hint="eastAsia" w:ascii="仿宋_GB2312" w:eastAsia="仿宋_GB2312"/>
          <w:color w:val="auto"/>
          <w:sz w:val="24"/>
          <w:szCs w:val="24"/>
          <w:highlight w:val="none"/>
          <w:u w:val="single"/>
        </w:rPr>
        <w:t xml:space="preserve">   （项目名称）采</w:t>
      </w:r>
      <w:r>
        <w:rPr>
          <w:rFonts w:hint="eastAsia" w:ascii="仿宋_GB2312" w:eastAsia="仿宋_GB2312"/>
          <w:color w:val="auto"/>
          <w:sz w:val="24"/>
          <w:szCs w:val="24"/>
          <w:highlight w:val="none"/>
        </w:rPr>
        <w:t xml:space="preserve">购活动，提供的货物全部由符合政策要求的中小企业制造。相关企业（含联合体中的中小企业、签订分包意向协议的中小企业）的具体情况如下：</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2</w:t>
      </w:r>
      <w:r>
        <w:rPr>
          <w:rFonts w:hint="eastAsia" w:ascii="仿宋_GB2312" w:eastAsia="仿宋_GB2312"/>
          <w:color w:val="auto"/>
          <w:sz w:val="24"/>
          <w:szCs w:val="24"/>
          <w:highlight w:val="none"/>
          <w:u w:val="single"/>
        </w:rPr>
        <w:t xml:space="preserve">.     </w:t>
      </w:r>
      <w:r>
        <w:rPr>
          <w:rFonts w:hint="eastAsia" w:ascii="仿宋" w:hAnsi="仿宋" w:eastAsia="仿宋" w:cs="仿宋"/>
          <w:color w:val="auto"/>
          <w:sz w:val="24"/>
          <w:szCs w:val="24"/>
          <w:highlight w:val="none"/>
          <w:u w:val="single"/>
          <w:lang w:bidi="ar"/>
        </w:rPr>
        <w:t xml:space="preserve">（</w:t>
      </w:r>
      <w:r>
        <w:rPr>
          <w:rFonts w:hint="eastAsia" w:ascii="仿宋_GB2312" w:eastAsia="仿宋_GB2312"/>
          <w:color w:val="auto"/>
          <w:sz w:val="24"/>
          <w:szCs w:val="24"/>
          <w:highlight w:val="none"/>
          <w:u w:val="single"/>
        </w:rPr>
        <w:t xml:space="preserve">标的名称）</w:t>
      </w:r>
      <w:r>
        <w:rPr>
          <w:rFonts w:hint="eastAsia" w:ascii="仿宋" w:hAnsi="仿宋" w:eastAsia="仿宋" w:cs="仿宋"/>
          <w:color w:val="auto"/>
          <w:sz w:val="24"/>
          <w:szCs w:val="24"/>
          <w:highlight w:val="none"/>
          <w:lang w:bidi="ar"/>
        </w:rPr>
        <w:t xml:space="preserve">，属于</w:t>
      </w:r>
      <w:r>
        <w:rPr>
          <w:rFonts w:hint="eastAsia" w:ascii="仿宋_GB2312" w:eastAsia="仿宋_GB2312"/>
          <w:color w:val="auto"/>
          <w:sz w:val="24"/>
          <w:szCs w:val="24"/>
          <w:highlight w:val="none"/>
          <w:u w:val="single"/>
        </w:rPr>
        <w:t xml:space="preserve">     （采购文件中明确的所属行业）</w:t>
      </w:r>
      <w:r>
        <w:rPr>
          <w:rFonts w:hint="eastAsia" w:ascii="仿宋" w:hAnsi="仿宋" w:eastAsia="仿宋" w:cs="仿宋"/>
          <w:color w:val="auto"/>
          <w:sz w:val="24"/>
          <w:szCs w:val="24"/>
          <w:highlight w:val="none"/>
          <w:lang w:bidi="ar"/>
        </w:rPr>
        <w:t xml:space="preserve">行业；</w:t>
      </w:r>
      <w:r>
        <w:rPr>
          <w:rFonts w:hint="eastAsia" w:ascii="仿宋_GB2312" w:eastAsia="仿宋_GB2312"/>
          <w:color w:val="auto"/>
          <w:sz w:val="24"/>
          <w:szCs w:val="24"/>
          <w:highlight w:val="none"/>
        </w:rPr>
        <w:t xml:space="preserve">制造商为 </w:t>
      </w:r>
      <w:r>
        <w:rPr>
          <w:rFonts w:hint="eastAsia" w:ascii="仿宋_GB2312" w:eastAsia="仿宋_GB2312"/>
          <w:color w:val="auto"/>
          <w:sz w:val="24"/>
          <w:szCs w:val="24"/>
          <w:highlight w:val="none"/>
          <w:u w:val="single"/>
        </w:rPr>
        <w:t xml:space="preserve">         （企业名称）</w:t>
      </w:r>
      <w:r>
        <w:rPr>
          <w:rFonts w:hint="eastAsia" w:ascii="仿宋" w:hAnsi="仿宋" w:eastAsia="仿宋" w:cs="仿宋"/>
          <w:color w:val="auto"/>
          <w:sz w:val="24"/>
          <w:szCs w:val="24"/>
          <w:highlight w:val="none"/>
          <w:lang w:bidi="ar"/>
        </w:rPr>
        <w:t xml:space="preserve">，</w:t>
      </w:r>
      <w:r>
        <w:rPr>
          <w:rFonts w:hint="eastAsia" w:ascii="仿宋_GB2312" w:eastAsia="仿宋_GB2312"/>
          <w:color w:val="auto"/>
          <w:sz w:val="24"/>
          <w:szCs w:val="24"/>
          <w:highlight w:val="none"/>
        </w:rPr>
        <w:t xml:space="preserve">从业人员</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人，</w:t>
      </w:r>
      <w:r>
        <w:rPr>
          <w:rFonts w:hint="eastAsia" w:ascii="仿宋_GB2312" w:eastAsia="仿宋_GB2312"/>
          <w:color w:val="auto"/>
          <w:sz w:val="24"/>
          <w:szCs w:val="24"/>
          <w:highlight w:val="none"/>
        </w:rPr>
        <w:t xml:space="preserve">营业收入为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万元，</w:t>
      </w:r>
      <w:r>
        <w:rPr>
          <w:rFonts w:hint="eastAsia" w:ascii="仿宋_GB2312" w:eastAsia="仿宋_GB2312"/>
          <w:color w:val="auto"/>
          <w:sz w:val="24"/>
          <w:szCs w:val="24"/>
          <w:highlight w:val="none"/>
        </w:rPr>
        <w:t xml:space="preserve">资产总额为</w:t>
      </w:r>
      <w:r>
        <w:rPr>
          <w:rFonts w:hint="eastAsia" w:ascii="仿宋" w:hAnsi="仿宋" w:eastAsia="仿宋" w:cs="仿宋"/>
          <w:color w:val="auto"/>
          <w:sz w:val="24"/>
          <w:szCs w:val="24"/>
          <w:highlight w:val="none"/>
          <w:u w:val="single"/>
          <w:lang w:bidi="ar"/>
        </w:rPr>
        <w:t xml:space="preserve">   </w:t>
      </w:r>
      <w:r>
        <w:rPr>
          <w:rFonts w:hint="eastAsia" w:ascii="仿宋" w:hAnsi="仿宋" w:eastAsia="仿宋" w:cs="仿宋"/>
          <w:color w:val="auto"/>
          <w:sz w:val="24"/>
          <w:szCs w:val="24"/>
          <w:highlight w:val="none"/>
          <w:lang w:bidi="ar"/>
        </w:rPr>
        <w:t xml:space="preserve">万</w:t>
      </w:r>
      <w:r>
        <w:rPr>
          <w:rFonts w:hint="eastAsia" w:ascii="仿宋_GB2312" w:eastAsia="仿宋_GB2312"/>
          <w:color w:val="auto"/>
          <w:sz w:val="24"/>
          <w:szCs w:val="24"/>
          <w:highlight w:val="none"/>
        </w:rPr>
        <w:t xml:space="preserve">元，属于</w:t>
      </w:r>
      <w:r>
        <w:rPr>
          <w:rFonts w:hint="eastAsia" w:ascii="仿宋_GB2312" w:eastAsia="仿宋_GB2312"/>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lang w:bidi="ar"/>
        </w:rPr>
        <w:t xml:space="preserve">；</w:t>
      </w:r>
      <w:r/>
    </w:p>
    <w:p>
      <w:pPr>
        <w:ind w:firstLine="480"/>
        <w:jc w:val="left"/>
        <w:spacing w:before="100" w:beforeAutospacing="1" w:after="100" w:afterAutospacing="1"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w:t>
      </w:r>
      <w:r/>
    </w:p>
    <w:p>
      <w:pPr>
        <w:pStyle w:val="690"/>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以上企业，不属于大企业的分支机构，不存在控股股东为大企业的情形，也不存在与大企业的负责人为同一人的情形。</w:t>
      </w:r>
      <w:r/>
    </w:p>
    <w:p>
      <w:pPr>
        <w:pStyle w:val="690"/>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本企业对上述声明内容的真实性负责。如有虚假，将依法承担相应责任</w:t>
      </w:r>
      <w:r/>
    </w:p>
    <w:p>
      <w:pPr>
        <w:pStyle w:val="690"/>
        <w:ind w:right="72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690"/>
        <w:ind w:right="180" w:firstLine="360"/>
        <w:jc w:val="center"/>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 xml:space="preserve">企业名称（加盖CA电子公章）：</w:t>
      </w:r>
      <w:r/>
    </w:p>
    <w:p>
      <w:pPr>
        <w:pStyle w:val="690"/>
        <w:ind w:right="480" w:firstLine="540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日  期：</w:t>
      </w:r>
      <w:r/>
    </w:p>
    <w:p>
      <w:pPr>
        <w:pStyle w:val="690"/>
        <w:ind w:firstLine="36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690"/>
        <w:ind w:firstLine="480"/>
        <w:jc w:val="both"/>
        <w:spacing w:beforeAutospacing="0" w:afterAutospacing="0"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备注1：从业人员、营业收入、资产总额填报上一年度数据，无上一年度数据的新成立企业可不填报。</w:t>
      </w:r>
      <w:r/>
    </w:p>
    <w:p>
      <w:pPr>
        <w:pStyle w:val="892"/>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备注2：供应商如不提供此声明函，价格将不做相应扣除</w:t>
      </w:r>
      <w:r>
        <w:rPr>
          <w:rFonts w:hint="eastAsia" w:ascii="仿宋" w:hAnsi="仿宋" w:eastAsia="仿宋" w:cs="仿宋"/>
          <w:b w:val="0"/>
          <w:bCs/>
          <w:color w:val="auto"/>
          <w:sz w:val="24"/>
          <w:szCs w:val="24"/>
          <w:highlight w:val="none"/>
          <w:lang w:eastAsia="zh-CN"/>
        </w:rPr>
        <w:t xml:space="preserve">（如项目全面面向中小企业，则资格审查不通过）</w:t>
      </w:r>
      <w:r>
        <w:rPr>
          <w:rFonts w:hint="eastAsia" w:ascii="仿宋" w:hAnsi="仿宋" w:eastAsia="仿宋" w:cs="仿宋"/>
          <w:b w:val="0"/>
          <w:bCs/>
          <w:color w:val="auto"/>
          <w:sz w:val="24"/>
          <w:szCs w:val="24"/>
          <w:highlight w:val="none"/>
        </w:rPr>
        <w:t xml:space="preserve">。</w:t>
      </w:r>
      <w:r/>
    </w:p>
    <w:p>
      <w:pPr>
        <w:pStyle w:val="893"/>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93"/>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r>
      <w:r/>
    </w:p>
    <w:p>
      <w:pPr>
        <w:pStyle w:val="893"/>
        <w:jc w:val="center"/>
        <w:spacing w:before="151" w:after="151" w:line="360" w:lineRule="auto"/>
        <w:rPr>
          <w:rFonts w:hint="eastAsia" w:ascii="宋体"/>
          <w:b/>
          <w:bCs/>
          <w:color w:val="auto"/>
          <w:sz w:val="32"/>
          <w:szCs w:val="32"/>
          <w:highlight w:val="none"/>
        </w:rPr>
      </w:pPr>
      <w:r>
        <w:rPr>
          <w:rFonts w:hint="eastAsia" w:ascii="宋体"/>
          <w:b/>
          <w:bCs/>
          <w:color w:val="auto"/>
          <w:sz w:val="32"/>
          <w:szCs w:val="32"/>
          <w:highlight w:val="none"/>
        </w:rPr>
        <w:t xml:space="preserve">残疾人福利性单位声明函</w:t>
      </w:r>
      <w:r/>
    </w:p>
    <w:p>
      <w:pPr>
        <w:pStyle w:val="894"/>
        <w:spacing w:line="360" w:lineRule="auto"/>
        <w:rPr>
          <w:rFonts w:hint="eastAsia" w:ascii="仿宋_GB2312" w:eastAsia="仿宋_GB2312"/>
          <w:b/>
          <w:color w:val="auto"/>
          <w:spacing w:val="6"/>
          <w:sz w:val="30"/>
          <w:szCs w:val="30"/>
          <w:highlight w:val="none"/>
        </w:rPr>
      </w:pPr>
      <w:r>
        <w:rPr>
          <w:rFonts w:hint="eastAsia" w:ascii="仿宋_GB2312" w:eastAsia="仿宋_GB2312"/>
          <w:b/>
          <w:color w:val="auto"/>
          <w:spacing w:val="6"/>
          <w:sz w:val="30"/>
          <w:szCs w:val="30"/>
          <w:highlight w:val="none"/>
        </w:rPr>
      </w:r>
      <w:r/>
    </w:p>
    <w:p>
      <w:pPr>
        <w:pStyle w:val="893"/>
        <w:ind w:firstLine="480"/>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r/>
    </w:p>
    <w:p>
      <w:pPr>
        <w:pStyle w:val="893"/>
        <w:ind w:firstLine="480"/>
        <w:spacing w:line="360" w:lineRule="auto"/>
        <w:rPr>
          <w:rFonts w:hint="eastAsia" w:ascii="方正仿宋_GBK" w:eastAsia="方正仿宋_GBK"/>
          <w:color w:val="auto"/>
          <w:sz w:val="24"/>
          <w:highlight w:val="none"/>
        </w:rPr>
      </w:pPr>
      <w:r>
        <w:rPr>
          <w:rFonts w:hint="eastAsia" w:ascii="仿宋_GB2312" w:eastAsia="仿宋_GB2312"/>
          <w:color w:val="auto"/>
          <w:sz w:val="24"/>
          <w:highlight w:val="none"/>
        </w:rPr>
        <w:t xml:space="preserve">本单位对上述声明的真实性负责。如有虚假，将依法承担相应责任。</w:t>
      </w:r>
      <w:r/>
    </w:p>
    <w:p>
      <w:pPr>
        <w:pStyle w:val="894"/>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894"/>
        <w:ind w:firstLine="504"/>
        <w:spacing w:line="360" w:lineRule="auto"/>
        <w:rPr>
          <w:rFonts w:hint="eastAsia" w:ascii="仿宋_GB2312" w:eastAsia="仿宋_GB2312"/>
          <w:color w:val="auto"/>
          <w:spacing w:val="6"/>
          <w:sz w:val="24"/>
          <w:szCs w:val="24"/>
          <w:highlight w:val="none"/>
        </w:rPr>
      </w:pPr>
      <w:r>
        <w:rPr>
          <w:rFonts w:hint="eastAsia" w:ascii="仿宋_GB2312" w:eastAsia="仿宋_GB2312"/>
          <w:color w:val="auto"/>
          <w:spacing w:val="6"/>
          <w:sz w:val="24"/>
          <w:szCs w:val="24"/>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95"/>
        <w:ind w:firstLine="720"/>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95"/>
        <w:ind w:firstLine="4320"/>
        <w:spacing w:line="360" w:lineRule="auto"/>
        <w:rPr>
          <w:rFonts w:hint="eastAsia"/>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96"/>
        <w:spacing w:line="360" w:lineRule="auto"/>
        <w:rPr>
          <w:color w:val="auto"/>
          <w:highlight w:val="none"/>
        </w:rPr>
      </w:pPr>
      <w:r>
        <w:rPr>
          <w:color w:val="auto"/>
          <w:highlight w:val="none"/>
        </w:rPr>
      </w:r>
      <w:r/>
    </w:p>
    <w:p>
      <w:pPr>
        <w:pStyle w:val="893"/>
        <w:spacing w:line="360" w:lineRule="auto"/>
        <w:rPr>
          <w:rFonts w:hint="eastAsia"/>
          <w:color w:val="auto"/>
          <w:highlight w:val="none"/>
        </w:rPr>
      </w:pPr>
      <w:r>
        <w:rPr>
          <w:rFonts w:hint="eastAsia"/>
          <w:color w:val="auto"/>
          <w:highlight w:val="none"/>
        </w:rPr>
        <w:t xml:space="preserve">注：1、残疾人福利性单位应完整填写此函并提供相关证明材料；</w:t>
      </w:r>
      <w:r/>
    </w:p>
    <w:p>
      <w:pPr>
        <w:pStyle w:val="893"/>
        <w:ind w:firstLine="420"/>
        <w:spacing w:line="360" w:lineRule="auto"/>
        <w:rPr>
          <w:rFonts w:hint="eastAsia"/>
          <w:color w:val="auto"/>
          <w:highlight w:val="none"/>
        </w:rPr>
      </w:pPr>
      <w:r>
        <w:rPr>
          <w:rFonts w:hint="eastAsia"/>
          <w:color w:val="auto"/>
          <w:highlight w:val="none"/>
        </w:rPr>
        <w:t xml:space="preserve">2、非残疾人福利性单位不需提供此声明函</w:t>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outlineLvl w:val="0"/>
      </w:pPr>
      <w:r>
        <w:rPr>
          <w:rFonts w:hint="eastAsia" w:ascii="宋体" w:hAnsi="宋体"/>
          <w:b/>
          <w:bCs/>
          <w:color w:val="auto"/>
          <w:sz w:val="28"/>
          <w:szCs w:val="28"/>
          <w:highlight w:val="none"/>
        </w:rPr>
        <w:t xml:space="preserve">属于监狱企业的证明文件</w:t>
      </w:r>
      <w:r/>
    </w:p>
    <w:p>
      <w:pPr>
        <w:spacing w:line="360" w:lineRule="auto"/>
        <w:rPr>
          <w:rFonts w:hint="eastAsia" w:ascii="宋体" w:hAnsi="宋体"/>
          <w:color w:val="auto"/>
          <w:highlight w:val="none"/>
        </w:rPr>
      </w:pPr>
      <w:r>
        <w:rPr>
          <w:rFonts w:hint="eastAsia" w:ascii="宋体" w:hAnsi="宋体"/>
          <w:color w:val="auto"/>
          <w:highlight w:val="none"/>
        </w:rPr>
        <w:t xml:space="preserve">（提供由省级以上监狱管理局、戒毒管理局(含新疆生产建设兵团)出具的属于监狱企业的证明文件）</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114" w:name="_Toc5876"/>
      <w:r/>
      <w:bookmarkEnd w:id="114"/>
      <w:r>
        <w:rPr>
          <w:rFonts w:hint="eastAsia" w:ascii="宋体" w:hAnsi="宋体"/>
          <w:b/>
          <w:bCs/>
          <w:color w:val="auto"/>
          <w:sz w:val="28"/>
          <w:szCs w:val="28"/>
          <w:highlight w:val="none"/>
        </w:rPr>
        <w:t xml:space="preserve">节能产品认证证书</w:t>
      </w:r>
      <w:r/>
    </w:p>
    <w:p>
      <w:pPr>
        <w:spacing w:line="360" w:lineRule="auto"/>
        <w:rPr>
          <w:rFonts w:hint="eastAsia" w:ascii="宋体" w:hAnsi="宋体"/>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highlight w:val="none"/>
        </w:rPr>
        <w:outlineLvl w:val="0"/>
      </w:pPr>
      <w:r/>
      <w:bookmarkStart w:id="115" w:name="_Toc16386"/>
      <w:r/>
      <w:bookmarkEnd w:id="115"/>
      <w:r>
        <w:rPr>
          <w:rFonts w:hint="eastAsia" w:ascii="宋体" w:hAnsi="宋体"/>
          <w:b/>
          <w:bCs/>
          <w:color w:val="auto"/>
          <w:sz w:val="28"/>
          <w:szCs w:val="28"/>
          <w:highlight w:val="none"/>
        </w:rPr>
        <w:t xml:space="preserve">环境标志产品认证证书</w:t>
      </w:r>
      <w:r/>
    </w:p>
    <w:p>
      <w:pPr>
        <w:spacing w:line="360" w:lineRule="auto"/>
        <w:rPr>
          <w:rFonts w:hint="eastAsia"/>
          <w:color w:val="auto"/>
          <w:highlight w:val="none"/>
        </w:rPr>
      </w:pPr>
      <w:r>
        <w:rPr>
          <w:rFonts w:hint="eastAsia" w:ascii="宋体" w:hAnsi="宋体"/>
          <w:color w:val="auto"/>
          <w:highlight w:val="none"/>
        </w:rPr>
        <w:t xml:space="preserve">（提供国家确定的认证机构出具的、处于有效期之内的产品认证证书）</w:t>
      </w:r>
      <w:r/>
    </w:p>
    <w:p>
      <w:pPr>
        <w:spacing w:line="360" w:lineRule="auto"/>
        <w:rPr>
          <w:rFonts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 </w:t>
      </w:r>
      <w:r/>
    </w:p>
    <w:p>
      <w:pPr>
        <w:jc w:val="center"/>
        <w:spacing w:line="360" w:lineRule="auto"/>
        <w:rPr>
          <w:rFonts w:hint="eastAsia" w:ascii="宋体" w:hAnsi="宋体"/>
          <w:b/>
          <w:bCs/>
          <w:color w:val="auto"/>
          <w:sz w:val="28"/>
          <w:szCs w:val="28"/>
          <w:highlight w:val="none"/>
        </w:rPr>
        <w:outlineLvl w:val="0"/>
      </w:pPr>
      <w:r/>
      <w:bookmarkStart w:id="116" w:name="_Toc1060"/>
      <w:r/>
      <w:bookmarkEnd w:id="116"/>
      <w:r>
        <w:rPr>
          <w:rFonts w:hint="eastAsia" w:ascii="宋体" w:hAnsi="宋体"/>
          <w:b/>
          <w:bCs/>
          <w:color w:val="auto"/>
          <w:sz w:val="28"/>
          <w:szCs w:val="28"/>
          <w:highlight w:val="none"/>
        </w:rPr>
        <w:t xml:space="preserve">进口产品转让技术、消化吸收再创新方案</w:t>
      </w:r>
      <w:r/>
    </w:p>
    <w:p>
      <w:pPr>
        <w:spacing w:line="360" w:lineRule="auto"/>
        <w:rPr>
          <w:rFonts w:hint="eastAsia" w:ascii="宋体" w:hAnsi="宋体"/>
          <w:color w:val="auto"/>
          <w:highlight w:val="none"/>
        </w:rPr>
      </w:pPr>
      <w:r>
        <w:rPr>
          <w:rFonts w:hint="eastAsia" w:ascii="宋体" w:hAnsi="宋体"/>
          <w:color w:val="auto"/>
          <w:highlight w:val="none"/>
        </w:rPr>
        <w:t xml:space="preserve">（对于允许进口产品参加的项目）</w:t>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rPr>
          <w:color w:val="auto"/>
          <w:highlight w:val="none"/>
        </w:rPr>
      </w:r>
      <w:r/>
    </w:p>
    <w:p>
      <w:pPr>
        <w:pStyle w:val="896"/>
        <w:spacing w:line="360" w:lineRule="auto"/>
        <w:rPr>
          <w:color w:val="auto"/>
          <w:highlight w:val="none"/>
        </w:rPr>
        <w:outlineLvl w:val="1"/>
      </w:pPr>
      <w:r/>
      <w:bookmarkStart w:id="117" w:name="_Toc16234"/>
      <w:r/>
      <w:bookmarkStart w:id="118" w:name="_Toc514054497"/>
      <w:r>
        <w:rPr>
          <w:color w:val="auto"/>
          <w:highlight w:val="none"/>
        </w:rPr>
        <w:t xml:space="preserve">十二、响应偏差表</w:t>
      </w:r>
      <w:bookmarkEnd w:id="117"/>
      <w:r/>
      <w:bookmarkEnd w:id="118"/>
      <w:r/>
      <w:r/>
    </w:p>
    <w:p>
      <w:pPr>
        <w:pStyle w:val="897"/>
        <w:jc w:val="center"/>
        <w:spacing w:line="360" w:lineRule="auto"/>
        <w:rPr>
          <w:rFonts w:hint="eastAsia"/>
          <w:color w:val="auto"/>
          <w:sz w:val="32"/>
          <w:szCs w:val="32"/>
          <w:highlight w:val="none"/>
        </w:rPr>
      </w:pPr>
      <w:r/>
      <w:bookmarkStart w:id="119" w:name="_Toc29509_WPSOffice_Level2"/>
      <w:r>
        <w:rPr>
          <w:rFonts w:hint="eastAsia"/>
          <w:color w:val="auto"/>
          <w:sz w:val="32"/>
          <w:szCs w:val="32"/>
          <w:highlight w:val="none"/>
        </w:rPr>
        <w:t xml:space="preserve">（一）投标技术响应偏差表</w:t>
      </w:r>
      <w:bookmarkEnd w:id="119"/>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351"/>
        <w:gridCol w:w="2601"/>
        <w:gridCol w:w="2765"/>
      </w:tblGrid>
      <w:tr>
        <w:trPr>
          <w:jc w:val="center"/>
          <w:trHeight w:val="674"/>
        </w:trPr>
        <w:tc>
          <w:tcPr>
            <w:tcW w:w="1201" w:type="dxa"/>
            <w:vAlign w:val="center"/>
            <w:textDirection w:val="lrTb"/>
            <w:noWrap w:val="false"/>
          </w:tcPr>
          <w:p>
            <w:pPr>
              <w:pStyle w:val="89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351" w:type="dxa"/>
            <w:vAlign w:val="center"/>
            <w:textDirection w:val="lrTb"/>
            <w:noWrap w:val="false"/>
          </w:tcPr>
          <w:p>
            <w:pPr>
              <w:pStyle w:val="89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601" w:type="dxa"/>
            <w:vAlign w:val="center"/>
            <w:textDirection w:val="lrTb"/>
            <w:noWrap w:val="false"/>
          </w:tcPr>
          <w:p>
            <w:pPr>
              <w:pStyle w:val="897"/>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5" w:type="dxa"/>
            <w:vAlign w:val="center"/>
            <w:textDirection w:val="lrTb"/>
            <w:noWrap w:val="false"/>
          </w:tcPr>
          <w:p>
            <w:pPr>
              <w:pStyle w:val="89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84"/>
        </w:trPr>
        <w:tc>
          <w:tcPr>
            <w:tcW w:w="12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35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601"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5"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bl>
    <w:p>
      <w:pPr>
        <w:pStyle w:val="897"/>
        <w:jc w:val="center"/>
        <w:spacing w:line="360" w:lineRule="auto"/>
        <w:rPr>
          <w:rFonts w:hint="eastAsia"/>
          <w:color w:val="auto"/>
          <w:sz w:val="22"/>
          <w:highlight w:val="none"/>
        </w:rPr>
      </w:pPr>
      <w:r>
        <w:rPr>
          <w:rFonts w:hint="eastAsia"/>
          <w:color w:val="auto"/>
          <w:sz w:val="22"/>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98"/>
        <w:ind w:firstLine="482"/>
        <w:spacing w:line="360" w:lineRule="auto"/>
        <w:rPr>
          <w:rFonts w:hint="eastAsia" w:hAnsi="宋体"/>
          <w:b/>
          <w:bCs/>
          <w:color w:val="auto"/>
          <w:sz w:val="24"/>
          <w:szCs w:val="28"/>
          <w:highlight w:val="none"/>
        </w:rPr>
      </w:pPr>
      <w:r>
        <w:rPr>
          <w:rFonts w:hint="eastAsia" w:hAnsi="宋体"/>
          <w:b/>
          <w:bCs/>
          <w:color w:val="auto"/>
          <w:sz w:val="24"/>
          <w:szCs w:val="28"/>
          <w:highlight w:val="none"/>
        </w:rPr>
      </w:r>
      <w:r/>
    </w:p>
    <w:p>
      <w:pPr>
        <w:pStyle w:val="898"/>
        <w:spacing w:line="360" w:lineRule="auto"/>
        <w:rPr>
          <w:rFonts w:hint="eastAsia" w:hAnsi="宋体"/>
          <w:b/>
          <w:bCs/>
          <w:color w:val="auto"/>
          <w:sz w:val="24"/>
          <w:szCs w:val="28"/>
          <w:highlight w:val="none"/>
        </w:rPr>
      </w:pPr>
      <w:r>
        <w:rPr>
          <w:rFonts w:hint="eastAsia" w:hAnsi="宋体"/>
          <w:b/>
          <w:bCs/>
          <w:color w:val="auto"/>
          <w:sz w:val="24"/>
          <w:szCs w:val="28"/>
          <w:highlight w:val="none"/>
        </w:rPr>
        <w:t xml:space="preserve">1、凡投标文件中所投货物或服务与招标文件有偏差的（包括正偏差，负偏差），均应在此表中详细列出并说明理由。第四部分技术</w:t>
      </w:r>
      <w:r>
        <w:rPr>
          <w:rFonts w:hint="eastAsia" w:hAnsi="宋体"/>
          <w:b/>
          <w:bCs/>
          <w:color w:val="auto"/>
          <w:sz w:val="24"/>
          <w:szCs w:val="28"/>
          <w:highlight w:val="none"/>
          <w:lang w:val="en-US" w:eastAsia="zh-CN"/>
        </w:rPr>
        <w:t xml:space="preserve">参数</w:t>
      </w:r>
      <w:r>
        <w:rPr>
          <w:rFonts w:hint="eastAsia" w:hAnsi="宋体"/>
          <w:b/>
          <w:bCs/>
          <w:color w:val="auto"/>
          <w:sz w:val="24"/>
          <w:szCs w:val="28"/>
          <w:highlight w:val="none"/>
        </w:rPr>
        <w:t xml:space="preserve">要求须逐条应答。</w:t>
      </w:r>
      <w:r/>
    </w:p>
    <w:p>
      <w:pPr>
        <w:pStyle w:val="897"/>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2、投标人所投产品如与招标文件要求的规格及配置不一致，则须在上表偏离说明中详细注明。</w:t>
      </w:r>
      <w:r/>
    </w:p>
    <w:p>
      <w:pPr>
        <w:pStyle w:val="899"/>
        <w:spacing w:line="360" w:lineRule="auto"/>
        <w:rPr>
          <w:rFonts w:hint="eastAsia"/>
          <w:color w:val="auto"/>
          <w:highlight w:val="none"/>
        </w:rPr>
      </w:pPr>
      <w:r>
        <w:rPr>
          <w:rFonts w:hint="eastAsia" w:ascii="宋体" w:hAnsi="宋体"/>
          <w:b/>
          <w:bCs/>
          <w:color w:val="auto"/>
          <w:sz w:val="24"/>
          <w:szCs w:val="28"/>
          <w:highlight w:val="none"/>
        </w:rPr>
        <w:t xml:space="preserve">3、响应部分可后附详细说明及技术资料。</w:t>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pPr>
      <w:r>
        <w:rPr>
          <w:rFonts w:hint="eastAsia"/>
          <w:color w:val="auto"/>
          <w:highlight w:val="none"/>
        </w:rPr>
      </w:r>
      <w:r/>
    </w:p>
    <w:p>
      <w:pPr>
        <w:pStyle w:val="900"/>
        <w:jc w:val="center"/>
        <w:spacing w:line="360" w:lineRule="auto"/>
        <w:rPr>
          <w:rFonts w:hint="eastAsia"/>
          <w:color w:val="auto"/>
          <w:highlight w:val="none"/>
        </w:rPr>
        <w:outlineLvl w:val="1"/>
      </w:pPr>
      <w:r/>
      <w:bookmarkStart w:id="120" w:name="_Toc9396"/>
      <w:r/>
      <w:bookmarkStart w:id="121" w:name="_Toc514054498"/>
      <w:r/>
      <w:bookmarkStart w:id="122" w:name="_Toc3171_WPSOffice_Level2"/>
      <w:r>
        <w:rPr>
          <w:rFonts w:hint="eastAsia"/>
          <w:color w:val="auto"/>
          <w:highlight w:val="none"/>
          <w:lang w:eastAsia="zh-CN"/>
        </w:rPr>
        <w:t xml:space="preserve">（二）投标商务偏离表</w:t>
      </w:r>
      <w:bookmarkEnd w:id="120"/>
      <w:r/>
      <w:bookmarkEnd w:id="121"/>
      <w:r/>
      <w:bookmarkEnd w:id="122"/>
      <w:r/>
      <w:r/>
    </w:p>
    <w:tbl>
      <w:tblPr>
        <w:tblStyle w:val="671"/>
        <w:tblW w:w="84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9"/>
        <w:gridCol w:w="2078"/>
        <w:gridCol w:w="2146"/>
        <w:gridCol w:w="2760"/>
      </w:tblGrid>
      <w:tr>
        <w:trPr>
          <w:jc w:val="center"/>
          <w:trHeight w:val="672"/>
        </w:trPr>
        <w:tc>
          <w:tcPr>
            <w:tcW w:w="1449" w:type="dxa"/>
            <w:vAlign w:val="center"/>
            <w:textDirection w:val="lrTb"/>
            <w:noWrap w:val="false"/>
          </w:tcPr>
          <w:p>
            <w:pPr>
              <w:pStyle w:val="897"/>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2078" w:type="dxa"/>
            <w:vAlign w:val="center"/>
            <w:textDirection w:val="lrTb"/>
            <w:noWrap w:val="false"/>
          </w:tcPr>
          <w:p>
            <w:pPr>
              <w:pStyle w:val="897"/>
              <w:jc w:val="center"/>
              <w:spacing w:before="100" w:beforeAutospacing="1" w:line="360" w:lineRule="auto"/>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W w:w="2146" w:type="dxa"/>
            <w:vAlign w:val="center"/>
            <w:textDirection w:val="lrTb"/>
            <w:noWrap w:val="false"/>
          </w:tcPr>
          <w:p>
            <w:pPr>
              <w:pStyle w:val="897"/>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W w:w="2760" w:type="dxa"/>
            <w:vAlign w:val="center"/>
            <w:textDirection w:val="lrTb"/>
            <w:noWrap w:val="false"/>
          </w:tcPr>
          <w:p>
            <w:pPr>
              <w:pStyle w:val="897"/>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W w:w="1449"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078"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146"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c>
          <w:tcPr>
            <w:tcW w:w="2760" w:type="dxa"/>
            <w:vAlign w:val="center"/>
            <w:textDirection w:val="lrTb"/>
            <w:noWrap w:val="false"/>
          </w:tcPr>
          <w:p>
            <w:pPr>
              <w:pStyle w:val="897"/>
              <w:jc w:val="center"/>
              <w:spacing w:line="360" w:lineRule="auto"/>
              <w:rPr>
                <w:rFonts w:ascii="仿宋_GB2312" w:eastAsia="仿宋_GB2312"/>
                <w:color w:val="auto"/>
                <w:sz w:val="24"/>
                <w:highlight w:val="none"/>
              </w:rPr>
            </w:pPr>
            <w:r>
              <w:rPr>
                <w:rFonts w:ascii="仿宋_GB2312" w:eastAsia="仿宋_GB2312"/>
                <w:color w:val="auto"/>
                <w:sz w:val="24"/>
                <w:highlight w:val="none"/>
              </w:rPr>
            </w:r>
            <w:r/>
          </w:p>
        </w:tc>
      </w:tr>
    </w:tbl>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r>
      <w:r/>
    </w:p>
    <w:p>
      <w:pPr>
        <w:pStyle w:val="897"/>
        <w:spacing w:line="360" w:lineRule="auto"/>
        <w:rPr>
          <w:rFonts w:hint="eastAsia" w:ascii="宋体" w:hAnsi="宋体"/>
          <w:b/>
          <w:bCs/>
          <w:color w:val="auto"/>
          <w:sz w:val="24"/>
          <w:szCs w:val="28"/>
          <w:highlight w:val="none"/>
        </w:rPr>
      </w:pPr>
      <w:r>
        <w:rPr>
          <w:rFonts w:hint="eastAsia" w:ascii="宋体" w:hAnsi="宋体"/>
          <w:b/>
          <w:bCs/>
          <w:color w:val="auto"/>
          <w:sz w:val="24"/>
          <w:szCs w:val="28"/>
          <w:highlight w:val="none"/>
        </w:rPr>
        <w:t xml:space="preserve">1、投标人商务</w:t>
      </w:r>
      <w:r>
        <w:rPr>
          <w:rFonts w:hint="eastAsia" w:ascii="宋体" w:hAnsi="宋体"/>
          <w:b/>
          <w:bCs/>
          <w:color w:val="auto"/>
          <w:sz w:val="24"/>
          <w:szCs w:val="28"/>
          <w:highlight w:val="none"/>
          <w:lang w:val="en-US" w:eastAsia="zh-CN"/>
        </w:rPr>
        <w:t xml:space="preserve">要求</w:t>
      </w:r>
      <w:r>
        <w:rPr>
          <w:rFonts w:hint="eastAsia" w:ascii="宋体" w:hAnsi="宋体"/>
          <w:b/>
          <w:bCs/>
          <w:color w:val="auto"/>
          <w:sz w:val="24"/>
          <w:szCs w:val="28"/>
          <w:highlight w:val="none"/>
        </w:rPr>
        <w:t xml:space="preserve">如与招标文件要求的不一致，则须在上表偏离说明中详细注明。</w:t>
      </w:r>
      <w:r/>
    </w:p>
    <w:p>
      <w:pPr>
        <w:pStyle w:val="900"/>
        <w:spacing w:line="360" w:lineRule="auto"/>
        <w:rPr>
          <w:color w:val="auto"/>
          <w:highlight w:val="none"/>
        </w:rPr>
        <w:outlineLvl w:val="1"/>
      </w:pPr>
      <w:r/>
      <w:bookmarkStart w:id="123" w:name="_Toc514054500"/>
      <w:r>
        <w:rPr>
          <w:color w:val="auto"/>
          <w:highlight w:val="none"/>
        </w:rPr>
        <w:br w:type="page" w:clear="all"/>
      </w:r>
      <w:bookmarkStart w:id="124" w:name="_Toc14591"/>
      <w:r>
        <w:rPr>
          <w:color w:val="auto"/>
          <w:highlight w:val="none"/>
        </w:rPr>
        <w:t xml:space="preserve">十三、所投产品技术资料或样本等</w:t>
      </w:r>
      <w:bookmarkEnd w:id="123"/>
      <w:r/>
      <w:bookmarkEnd w:id="124"/>
      <w:r/>
      <w:r/>
    </w:p>
    <w:p>
      <w:pPr>
        <w:pStyle w:val="901"/>
        <w:spacing w:line="360" w:lineRule="auto"/>
        <w:rPr>
          <w:rFonts w:hint="eastAsia"/>
          <w:color w:val="auto"/>
          <w:szCs w:val="21"/>
          <w:highlight w:val="none"/>
        </w:rPr>
      </w:pPr>
      <w:r>
        <w:rPr>
          <w:rFonts w:hint="eastAsia" w:ascii="宋体"/>
          <w:bCs/>
          <w:color w:val="auto"/>
          <w:szCs w:val="21"/>
          <w:highlight w:val="none"/>
        </w:rPr>
        <w:t xml:space="preserve">格式自拟，可附相关产品技术彩页</w:t>
      </w:r>
      <w:r/>
    </w:p>
    <w:p>
      <w:pPr>
        <w:pStyle w:val="902"/>
        <w:spacing w:line="360" w:lineRule="auto"/>
        <w:rPr>
          <w:color w:val="auto"/>
          <w:highlight w:val="none"/>
        </w:rPr>
        <w:outlineLvl w:val="1"/>
      </w:pPr>
      <w:r>
        <w:rPr>
          <w:color w:val="auto"/>
          <w:highlight w:val="none"/>
        </w:rPr>
        <w:br w:type="page" w:clear="all"/>
      </w:r>
      <w:bookmarkStart w:id="125" w:name="_Toc23522_WPSOffice_Level2"/>
      <w:r/>
      <w:bookmarkStart w:id="126" w:name="_Toc27623"/>
      <w:r/>
      <w:bookmarkStart w:id="127" w:name="_Toc514054501"/>
      <w:r>
        <w:rPr>
          <w:color w:val="auto"/>
          <w:highlight w:val="none"/>
        </w:rPr>
        <w:t xml:space="preserve">十四、主要部件、辅材明细表</w:t>
      </w:r>
      <w:bookmarkEnd w:id="125"/>
      <w:r/>
      <w:bookmarkEnd w:id="126"/>
      <w:r/>
      <w:bookmarkEnd w:id="127"/>
      <w:r/>
      <w:r/>
    </w:p>
    <w:p>
      <w:pPr>
        <w:pStyle w:val="903"/>
        <w:spacing w:line="360" w:lineRule="auto"/>
        <w:rPr>
          <w:rFonts w:hint="eastAsia"/>
          <w:color w:val="auto"/>
          <w:highlight w:val="none"/>
        </w:rPr>
      </w:pPr>
      <w:r>
        <w:rPr>
          <w:rFonts w:hint="eastAsia"/>
          <w:color w:val="auto"/>
          <w:highlight w:val="none"/>
        </w:rPr>
      </w:r>
      <w:r/>
    </w:p>
    <w:tbl>
      <w:tblPr>
        <w:tblStyle w:val="671"/>
        <w:tblpPr w:horzAnchor="margin" w:tblpXSpec="left" w:vertAnchor="text" w:tblpY="32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3"/>
        <w:gridCol w:w="1260"/>
        <w:gridCol w:w="1080"/>
        <w:gridCol w:w="1440"/>
        <w:gridCol w:w="1974"/>
        <w:gridCol w:w="1901"/>
      </w:tblGrid>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主要部件及辅材</w:t>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w:t>
            </w:r>
            <w:r/>
          </w:p>
        </w:tc>
        <w:tc>
          <w:tcPr>
            <w:tcW w:w="1080"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产地</w:t>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生产厂家</w:t>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主要技术参数</w:t>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质保期满后优惠价格</w:t>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cantSplit/>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center"/>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r>
        <w:trPr>
          <w:trHeight w:val="585"/>
        </w:trPr>
        <w:tc>
          <w:tcPr>
            <w:tcW w:w="1453" w:type="dxa"/>
            <w:vAlign w:val="top"/>
            <w:textDirection w:val="lrTb"/>
            <w:noWrap w:val="false"/>
          </w:tcPr>
          <w:p>
            <w:pPr>
              <w:pStyle w:val="904"/>
              <w:jc w:val="center"/>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26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08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440"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74"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c>
          <w:tcPr>
            <w:tcW w:w="1901" w:type="dxa"/>
            <w:vAlign w:val="top"/>
            <w:textDirection w:val="lrTb"/>
            <w:noWrap w:val="false"/>
          </w:tcPr>
          <w:p>
            <w:pPr>
              <w:pStyle w:val="904"/>
              <w:spacing w:before="100" w:beforeAutospacing="1" w:line="360" w:lineRule="auto"/>
              <w:widowControl/>
              <w:rPr>
                <w:rFonts w:ascii="仿宋_GB2312" w:eastAsia="仿宋_GB2312"/>
                <w:color w:val="auto"/>
                <w:sz w:val="24"/>
                <w:szCs w:val="22"/>
                <w:highlight w:val="none"/>
              </w:rPr>
            </w:pPr>
            <w:r>
              <w:rPr>
                <w:rFonts w:ascii="仿宋_GB2312" w:eastAsia="仿宋_GB2312"/>
                <w:color w:val="auto"/>
                <w:sz w:val="24"/>
                <w:szCs w:val="22"/>
                <w:highlight w:val="none"/>
              </w:rPr>
            </w:r>
            <w:r/>
          </w:p>
        </w:tc>
      </w:tr>
    </w:tbl>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ind w:left="-288" w:firstLine="285"/>
        <w:spacing w:before="100" w:beforeAutospacing="1" w:line="360" w:lineRule="auto"/>
        <w:widowControl/>
        <w:rPr>
          <w:rFonts w:hint="eastAsia" w:ascii="仿宋_GB2312" w:eastAsia="仿宋_GB2312"/>
          <w:bCs/>
          <w:color w:val="auto"/>
          <w:sz w:val="24"/>
          <w:highlight w:val="none"/>
        </w:rPr>
      </w:pPr>
      <w:r>
        <w:rPr>
          <w:rFonts w:hint="eastAsia" w:ascii="仿宋_GB2312" w:eastAsia="仿宋_GB2312"/>
          <w:bCs/>
          <w:color w:val="auto"/>
          <w:sz w:val="24"/>
          <w:highlight w:val="none"/>
        </w:rPr>
      </w:r>
      <w:r/>
    </w:p>
    <w:p>
      <w:pPr>
        <w:pStyle w:val="904"/>
        <w:spacing w:before="100" w:beforeAutospacing="1" w:line="360" w:lineRule="auto"/>
        <w:widowControl/>
        <w:rPr>
          <w:rFonts w:hint="eastAsia" w:ascii="仿宋_GB2312" w:eastAsia="仿宋_GB2312"/>
          <w:bCs/>
          <w:color w:val="auto"/>
          <w:sz w:val="24"/>
          <w:szCs w:val="22"/>
          <w:highlight w:val="none"/>
        </w:rPr>
      </w:pPr>
      <w:r>
        <w:rPr>
          <w:rFonts w:hint="eastAsia" w:ascii="仿宋_GB2312" w:eastAsia="仿宋_GB2312"/>
          <w:bCs/>
          <w:color w:val="auto"/>
          <w:sz w:val="24"/>
          <w:highlight w:val="none"/>
        </w:rPr>
        <w:t xml:space="preserve">注：投标人应将所投货物的主要部件、配件等材料的品牌、产地、相关参数、质保期满后的优惠价格等在表中空白处填列。</w:t>
      </w:r>
      <w:r/>
    </w:p>
    <w:p>
      <w:pPr>
        <w:pStyle w:val="904"/>
        <w:ind w:right="105" w:firstLine="313"/>
        <w:spacing w:line="360" w:lineRule="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904"/>
        <w:ind w:right="105" w:firstLine="313"/>
        <w:spacing w:line="360" w:lineRule="auto"/>
        <w:rPr>
          <w:rFonts w:hint="eastAsia" w:ascii="仿宋_GB2312" w:eastAsia="仿宋_GB2312"/>
          <w:color w:val="auto"/>
          <w:sz w:val="32"/>
          <w:szCs w:val="32"/>
          <w:highlight w:val="none"/>
        </w:rPr>
      </w:pPr>
      <w:r>
        <w:rPr>
          <w:rFonts w:hint="eastAsia" w:ascii="仿宋_GB2312" w:eastAsia="仿宋_GB2312"/>
          <w:color w:val="auto"/>
          <w:sz w:val="32"/>
          <w:szCs w:val="32"/>
          <w:highlight w:val="none"/>
        </w:rPr>
      </w:r>
      <w:r/>
    </w:p>
    <w:p>
      <w:pPr>
        <w:pStyle w:val="871"/>
        <w:ind w:firstLine="629"/>
        <w:spacing w:line="360" w:lineRule="auto"/>
        <w:rPr>
          <w:rFonts w:hint="eastAsia" w:ascii="仿宋_GB2312" w:eastAsia="仿宋_GB2312"/>
          <w:color w:val="auto"/>
          <w:sz w:val="24"/>
          <w:highlight w:val="none"/>
          <w:u w:val="single"/>
        </w:rPr>
      </w:pPr>
      <w:r>
        <w:rPr>
          <w:rFonts w:hint="eastAsia" w:ascii="仿宋_GB2312" w:eastAsia="仿宋_GB2312"/>
          <w:color w:val="auto"/>
          <w:sz w:val="24"/>
          <w:highlight w:val="none"/>
        </w:rPr>
        <w:t xml:space="preserve">单位名称：（盖章）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871"/>
        <w:ind w:firstLine="629"/>
        <w:spacing w:line="360" w:lineRule="auto"/>
        <w:rPr>
          <w:rFonts w:hint="eastAsia"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或签章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905"/>
        <w:spacing w:line="360" w:lineRule="auto"/>
        <w:rPr>
          <w:color w:val="auto"/>
          <w:highlight w:val="none"/>
        </w:rPr>
        <w:outlineLvl w:val="1"/>
      </w:pPr>
      <w:r>
        <w:rPr>
          <w:color w:val="auto"/>
          <w:highlight w:val="none"/>
        </w:rPr>
        <w:br w:type="page" w:clear="all"/>
      </w:r>
      <w:bookmarkStart w:id="128" w:name="_Toc25001_WPSOffice_Level2"/>
      <w:r/>
      <w:bookmarkStart w:id="129" w:name="_Toc514054502"/>
      <w:r/>
      <w:bookmarkStart w:id="130" w:name="_Toc15828"/>
      <w:r>
        <w:rPr>
          <w:color w:val="auto"/>
          <w:highlight w:val="none"/>
        </w:rPr>
        <w:t xml:space="preserve">十五、</w:t>
      </w:r>
      <w:r>
        <w:rPr>
          <w:rFonts w:hint="eastAsia"/>
          <w:color w:val="auto"/>
          <w:highlight w:val="none"/>
          <w:lang w:val="en-US" w:eastAsia="zh-CN"/>
        </w:rPr>
        <w:t xml:space="preserve">服务</w:t>
      </w:r>
      <w:r>
        <w:rPr>
          <w:color w:val="auto"/>
          <w:highlight w:val="none"/>
        </w:rPr>
        <w:t xml:space="preserve">方案</w:t>
      </w:r>
      <w:bookmarkEnd w:id="128"/>
      <w:r/>
      <w:bookmarkEnd w:id="129"/>
      <w:r/>
      <w:bookmarkEnd w:id="130"/>
      <w:r/>
      <w:r/>
    </w:p>
    <w:p>
      <w:pPr>
        <w:pStyle w:val="906"/>
        <w:jc w:val="center"/>
        <w:spacing w:line="360" w:lineRule="auto"/>
        <w:rPr>
          <w:rFonts w:hint="eastAsia" w:ascii="宋体"/>
          <w:b/>
          <w:bCs/>
          <w:color w:val="auto"/>
          <w:sz w:val="32"/>
          <w:szCs w:val="32"/>
          <w:highlight w:val="none"/>
        </w:rPr>
      </w:pPr>
      <w:r/>
      <w:bookmarkStart w:id="131" w:name="_Toc2882_WPSOffice_Level2"/>
      <w:r>
        <w:rPr>
          <w:rFonts w:hint="eastAsia" w:ascii="宋体"/>
          <w:b/>
          <w:bCs/>
          <w:color w:val="auto"/>
          <w:sz w:val="32"/>
          <w:szCs w:val="32"/>
          <w:highlight w:val="none"/>
        </w:rPr>
        <w:t xml:space="preserve">按照招标文件要求，格式自拟</w:t>
      </w:r>
      <w:bookmarkEnd w:id="131"/>
      <w:r/>
      <w:r/>
    </w:p>
    <w:p>
      <w:pPr>
        <w:pStyle w:val="907"/>
        <w:spacing w:line="360" w:lineRule="auto"/>
        <w:rPr>
          <w:color w:val="auto"/>
          <w:highlight w:val="none"/>
        </w:rPr>
        <w:outlineLvl w:val="1"/>
      </w:pPr>
      <w:r>
        <w:rPr>
          <w:color w:val="auto"/>
          <w:highlight w:val="none"/>
        </w:rPr>
        <w:br w:type="page" w:clear="all"/>
      </w:r>
      <w:bookmarkStart w:id="132" w:name="_Toc5519"/>
      <w:r/>
      <w:bookmarkStart w:id="133" w:name="_Toc30208_WPSOffice_Level2"/>
      <w:r/>
      <w:bookmarkStart w:id="134" w:name="_Toc514054504"/>
      <w:r>
        <w:rPr>
          <w:color w:val="auto"/>
          <w:highlight w:val="none"/>
        </w:rPr>
        <w:t xml:space="preserve">十</w:t>
      </w:r>
      <w:r>
        <w:rPr>
          <w:rFonts w:hint="eastAsia"/>
          <w:color w:val="auto"/>
          <w:highlight w:val="none"/>
          <w:lang w:val="en-US" w:eastAsia="zh-CN"/>
        </w:rPr>
        <w:t xml:space="preserve">六</w:t>
      </w:r>
      <w:r>
        <w:rPr>
          <w:color w:val="auto"/>
          <w:highlight w:val="none"/>
        </w:rPr>
        <w:t xml:space="preserve">、投标人项目业绩一览表</w:t>
      </w:r>
      <w:bookmarkEnd w:id="132"/>
      <w:r/>
      <w:bookmarkEnd w:id="133"/>
      <w:r/>
      <w:bookmarkEnd w:id="134"/>
      <w:r/>
      <w:r/>
    </w:p>
    <w:p>
      <w:pPr>
        <w:pStyle w:val="908"/>
        <w:jc w:val="center"/>
        <w:spacing w:line="360" w:lineRule="auto"/>
        <w:rPr>
          <w:b/>
          <w:color w:val="auto"/>
          <w:sz w:val="32"/>
          <w:szCs w:val="32"/>
          <w:highlight w:val="none"/>
        </w:rPr>
      </w:pPr>
      <w:r/>
      <w:bookmarkStart w:id="135" w:name="_Toc10294_WPSOffice_Level2"/>
      <w:r>
        <w:rPr>
          <w:rFonts w:hint="eastAsia"/>
          <w:b/>
          <w:color w:val="auto"/>
          <w:sz w:val="32"/>
          <w:szCs w:val="32"/>
          <w:highlight w:val="none"/>
        </w:rPr>
        <w:t xml:space="preserve">项目业绩一览表</w:t>
      </w:r>
      <w:bookmarkEnd w:id="135"/>
      <w:r/>
      <w:r/>
    </w:p>
    <w:tbl>
      <w:tblPr>
        <w:tblStyle w:val="6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09"/>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909"/>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909"/>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909"/>
              <w:jc w:val="center"/>
              <w:spacing w:line="360" w:lineRule="auto"/>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vAlign w:val="top"/>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vAlign w:val="top"/>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909"/>
              <w:jc w:val="center"/>
              <w:spacing w:line="360" w:lineRule="auto"/>
              <w:rPr>
                <w:rFonts w:ascii="仿宋_GB2312" w:eastAsia="仿宋_GB2312"/>
                <w:color w:val="auto"/>
                <w:sz w:val="28"/>
                <w:highlight w:val="none"/>
              </w:rPr>
            </w:pPr>
            <w:r>
              <w:rPr>
                <w:rFonts w:ascii="仿宋_GB2312" w:eastAsia="仿宋_GB2312"/>
                <w:color w:val="auto"/>
                <w:sz w:val="28"/>
                <w:highlight w:val="none"/>
              </w:rPr>
            </w:r>
            <w:r/>
          </w:p>
        </w:tc>
      </w:tr>
    </w:tbl>
    <w:p>
      <w:pPr>
        <w:pStyle w:val="910"/>
        <w:spacing w:line="360" w:lineRule="auto"/>
        <w:rPr>
          <w:color w:val="auto"/>
          <w:highlight w:val="none"/>
        </w:rPr>
        <w:outlineLvl w:val="1"/>
      </w:pPr>
      <w:r>
        <w:rPr>
          <w:color w:val="auto"/>
          <w:highlight w:val="none"/>
        </w:rPr>
        <w:br w:type="page" w:clear="all"/>
      </w:r>
      <w:bookmarkStart w:id="136" w:name="_Toc15753"/>
      <w:r/>
      <w:bookmarkStart w:id="137" w:name="_Toc514054505"/>
      <w:r/>
      <w:bookmarkStart w:id="138" w:name="_Toc30836_WPSOffice_Level2"/>
      <w:r/>
      <w:bookmarkStart w:id="139" w:name="_Toc502821163"/>
      <w:r>
        <w:rPr>
          <w:color w:val="auto"/>
          <w:highlight w:val="none"/>
        </w:rPr>
        <w:t xml:space="preserve">十</w:t>
      </w:r>
      <w:r>
        <w:rPr>
          <w:rFonts w:hint="eastAsia"/>
          <w:color w:val="auto"/>
          <w:highlight w:val="none"/>
          <w:lang w:val="en-US" w:eastAsia="zh-CN"/>
        </w:rPr>
        <w:t xml:space="preserve">七</w:t>
      </w:r>
      <w:r>
        <w:rPr>
          <w:color w:val="auto"/>
          <w:highlight w:val="none"/>
        </w:rPr>
        <w:t xml:space="preserve">、投标所需其他材料</w:t>
      </w:r>
      <w:bookmarkEnd w:id="136"/>
      <w:r/>
      <w:bookmarkEnd w:id="137"/>
      <w:r/>
      <w:bookmarkEnd w:id="138"/>
      <w:r/>
      <w:bookmarkEnd w:id="139"/>
      <w:r/>
      <w:r/>
    </w:p>
    <w:p>
      <w:pPr>
        <w:pStyle w:val="911"/>
        <w:ind w:firstLine="420"/>
        <w:spacing w:line="360" w:lineRule="auto"/>
        <w:rPr>
          <w:rFonts w:hint="eastAsia"/>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spacing w:line="360" w:lineRule="auto"/>
        <w:rPr>
          <w:rFonts w:hint="eastAsia"/>
          <w:color w:val="auto"/>
          <w:sz w:val="20"/>
          <w:highlight w:val="none"/>
        </w:rPr>
      </w:pPr>
      <w:r>
        <w:rPr>
          <w:rFonts w:hint="eastAsia"/>
          <w:color w:val="auto"/>
          <w:sz w:val="20"/>
          <w:highlight w:val="none"/>
        </w:rPr>
        <w:t xml:space="preserve"> </w:t>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pStyle w:val="910"/>
        <w:spacing w:line="360" w:lineRule="auto"/>
        <w:rPr>
          <w:color w:val="auto"/>
        </w:rPr>
        <w:outlineLvl w:val="1"/>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r>
      <w:r/>
    </w:p>
    <w:sectPr>
      <w:headerReference w:type="default" r:id="rId9"/>
      <w:footerReference w:type="default" r:id="rId10"/>
      <w:footnotePr/>
      <w:endnotePr/>
      <w:type w:val="nextPage"/>
      <w:pgSz w:w="11906" w:h="16838" w:orient="portrait"/>
      <w:pgMar w:top="1440" w:right="1083" w:bottom="1440" w:left="1083" w:header="0"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大标宋简体">
    <w:panose1 w:val="020B0503020202020204"/>
  </w:font>
  <w:font w:name="楷体">
    <w:panose1 w:val="02010609060101010101"/>
  </w:font>
  <w:font w:name="Symbol">
    <w:panose1 w:val="05050102010706020507"/>
  </w:font>
  <w:font w:name="Courier New">
    <w:panose1 w:val="02070309020205020404"/>
  </w:font>
  <w:font w:name="华文楷体">
    <w:panose1 w:val="02010600040101010101"/>
  </w:font>
  <w:font w:name="Wingdings">
    <w:panose1 w:val="05000000000000000000"/>
  </w:font>
  <w:font w:name="_x000B__x000C_">
    <w:panose1 w:val="020B0503020202020204"/>
  </w:font>
  <w:font w:name="Calibri">
    <w:panose1 w:val="020F0502020204030204"/>
  </w:font>
  <w:font w:name="黑体">
    <w:panose1 w:val="02010609060101010101"/>
  </w:font>
  <w:font w:name="仿宋_GB2312">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2"/>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2"/>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r/>
                    <w:r/>
                  </w:p>
                </w:txbxContent>
              </v:textbox>
            </v:shape>
          </w:pict>
        </mc:Fallback>
      </mc:AlternateContent>
    </w:r>
    <w:r/>
  </w:p>
  <w:p>
    <w:pPr>
      <w:pStyle w:val="91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ind w:left="24"/>
      <w:spacing w:before="48" w:line="219" w:lineRule="auto"/>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link w:val="89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1">
    <w:name w:val="Heading 1"/>
    <w:basedOn w:val="660"/>
    <w:next w:val="660"/>
    <w:link w:val="696"/>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697"/>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698"/>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699"/>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0"/>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1"/>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2"/>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3"/>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04"/>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0"/>
    <w:semiHidden/>
    <w:qFormat/>
  </w:style>
  <w:style w:type="table" w:styleId="671" w:default="1">
    <w:name w:val="Normal Table"/>
    <w:uiPriority w:val="0"/>
    <w:semiHidden/>
    <w:qFormat/>
    <w:tblPr>
      <w:tblCellMar>
        <w:left w:w="108" w:type="dxa"/>
        <w:top w:w="0" w:type="dxa"/>
        <w:right w:w="108" w:type="dxa"/>
        <w:bottom w:w="0" w:type="dxa"/>
      </w:tblCellMar>
    </w:tblPr>
  </w:style>
  <w:style w:type="paragraph" w:styleId="672">
    <w:name w:val="toc 7"/>
    <w:basedOn w:val="660"/>
    <w:next w:val="660"/>
    <w:uiPriority w:val="39"/>
    <w:unhideWhenUsed/>
    <w:qFormat/>
    <w:pPr>
      <w:ind w:left="1701" w:right="0" w:firstLine="0"/>
      <w:spacing w:after="57"/>
    </w:pPr>
  </w:style>
  <w:style w:type="paragraph" w:styleId="673">
    <w:name w:val="Caption"/>
    <w:basedOn w:val="660"/>
    <w:next w:val="6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4">
    <w:name w:val="toa heading"/>
    <w:basedOn w:val="660"/>
    <w:next w:val="660"/>
    <w:uiPriority w:val="99"/>
    <w:unhideWhenUsed/>
    <w:qFormat/>
    <w:pPr>
      <w:spacing w:before="120"/>
    </w:pPr>
    <w:rPr>
      <w:rFonts w:ascii="Cambria" w:hAnsi="Cambria" w:eastAsia="宋体" w:cs="Times New Roman"/>
      <w:sz w:val="24"/>
      <w:szCs w:val="21"/>
    </w:rPr>
  </w:style>
  <w:style w:type="paragraph" w:styleId="675">
    <w:name w:val="Body Text"/>
    <w:basedOn w:val="660"/>
    <w:uiPriority w:val="0"/>
    <w:qFormat/>
    <w:pPr>
      <w:spacing w:line="60" w:lineRule="auto"/>
    </w:pPr>
    <w:rPr>
      <w:rFonts w:ascii="仿宋_GB2312" w:eastAsia="仿宋_GB2312"/>
      <w:sz w:val="32"/>
    </w:rPr>
  </w:style>
  <w:style w:type="paragraph" w:styleId="676">
    <w:name w:val="toc 5"/>
    <w:basedOn w:val="660"/>
    <w:next w:val="660"/>
    <w:uiPriority w:val="39"/>
    <w:unhideWhenUsed/>
    <w:qFormat/>
    <w:pPr>
      <w:ind w:left="1134" w:right="0" w:firstLine="0"/>
      <w:spacing w:after="57"/>
    </w:pPr>
  </w:style>
  <w:style w:type="paragraph" w:styleId="677">
    <w:name w:val="toc 3"/>
    <w:basedOn w:val="660"/>
    <w:next w:val="660"/>
    <w:uiPriority w:val="39"/>
    <w:unhideWhenUsed/>
    <w:qFormat/>
    <w:pPr>
      <w:ind w:left="567" w:right="0" w:firstLine="0"/>
      <w:spacing w:after="57"/>
    </w:pPr>
  </w:style>
  <w:style w:type="paragraph" w:styleId="678">
    <w:name w:val="toc 8"/>
    <w:basedOn w:val="660"/>
    <w:next w:val="660"/>
    <w:uiPriority w:val="39"/>
    <w:unhideWhenUsed/>
    <w:qFormat/>
    <w:pPr>
      <w:ind w:left="1984" w:right="0" w:firstLine="0"/>
      <w:spacing w:after="57"/>
    </w:pPr>
  </w:style>
  <w:style w:type="paragraph" w:styleId="679">
    <w:name w:val="endnote text"/>
    <w:basedOn w:val="660"/>
    <w:link w:val="842"/>
    <w:uiPriority w:val="99"/>
    <w:semiHidden/>
    <w:unhideWhenUsed/>
    <w:qFormat/>
    <w:pPr>
      <w:spacing w:after="0" w:line="240" w:lineRule="auto"/>
    </w:pPr>
    <w:rPr>
      <w:sz w:val="20"/>
    </w:rPr>
  </w:style>
  <w:style w:type="paragraph" w:styleId="680">
    <w:name w:val="Footer"/>
    <w:basedOn w:val="660"/>
    <w:link w:val="715"/>
    <w:uiPriority w:val="99"/>
    <w:unhideWhenUsed/>
    <w:qFormat/>
    <w:pPr>
      <w:spacing w:after="0" w:line="240" w:lineRule="auto"/>
      <w:tabs>
        <w:tab w:val="center" w:pos="7143" w:leader="none"/>
        <w:tab w:val="right" w:pos="14287" w:leader="none"/>
      </w:tabs>
    </w:pPr>
  </w:style>
  <w:style w:type="paragraph" w:styleId="681">
    <w:name w:val="Header"/>
    <w:basedOn w:val="660"/>
    <w:link w:val="713"/>
    <w:uiPriority w:val="99"/>
    <w:unhideWhenUsed/>
    <w:qFormat/>
    <w:pPr>
      <w:spacing w:after="0" w:line="240" w:lineRule="auto"/>
      <w:tabs>
        <w:tab w:val="center" w:pos="7143" w:leader="none"/>
        <w:tab w:val="right" w:pos="14287" w:leader="none"/>
      </w:tabs>
    </w:pPr>
  </w:style>
  <w:style w:type="paragraph" w:styleId="682">
    <w:name w:val="toc 1"/>
    <w:basedOn w:val="660"/>
    <w:next w:val="660"/>
    <w:uiPriority w:val="39"/>
    <w:unhideWhenUsed/>
    <w:qFormat/>
    <w:pPr>
      <w:ind w:left="0" w:right="0" w:firstLine="0"/>
      <w:spacing w:after="57"/>
    </w:pPr>
  </w:style>
  <w:style w:type="paragraph" w:styleId="683">
    <w:name w:val="toc 4"/>
    <w:basedOn w:val="660"/>
    <w:next w:val="660"/>
    <w:uiPriority w:val="39"/>
    <w:unhideWhenUsed/>
    <w:qFormat/>
    <w:pPr>
      <w:ind w:left="850" w:right="0" w:firstLine="0"/>
      <w:spacing w:after="57"/>
    </w:pPr>
  </w:style>
  <w:style w:type="paragraph" w:styleId="684">
    <w:name w:val="Subtitle"/>
    <w:basedOn w:val="660"/>
    <w:next w:val="660"/>
    <w:link w:val="708"/>
    <w:uiPriority w:val="11"/>
    <w:qFormat/>
    <w:pPr>
      <w:spacing w:before="200" w:after="200"/>
    </w:pPr>
    <w:rPr>
      <w:sz w:val="24"/>
      <w:szCs w:val="24"/>
    </w:rPr>
  </w:style>
  <w:style w:type="paragraph" w:styleId="685">
    <w:name w:val="footnote text"/>
    <w:basedOn w:val="660"/>
    <w:link w:val="841"/>
    <w:uiPriority w:val="99"/>
    <w:semiHidden/>
    <w:unhideWhenUsed/>
    <w:qFormat/>
    <w:pPr>
      <w:spacing w:after="40" w:line="240" w:lineRule="auto"/>
    </w:pPr>
    <w:rPr>
      <w:sz w:val="18"/>
    </w:rPr>
  </w:style>
  <w:style w:type="paragraph" w:styleId="686">
    <w:name w:val="toc 6"/>
    <w:basedOn w:val="660"/>
    <w:next w:val="660"/>
    <w:uiPriority w:val="39"/>
    <w:unhideWhenUsed/>
    <w:qFormat/>
    <w:pPr>
      <w:ind w:left="1417" w:right="0" w:firstLine="0"/>
      <w:spacing w:after="57"/>
    </w:pPr>
  </w:style>
  <w:style w:type="paragraph" w:styleId="687">
    <w:name w:val="table of figures"/>
    <w:basedOn w:val="660"/>
    <w:next w:val="660"/>
    <w:uiPriority w:val="99"/>
    <w:unhideWhenUsed/>
    <w:qFormat/>
    <w:pPr>
      <w:spacing w:after="0" w:afterAutospacing="0"/>
    </w:pPr>
  </w:style>
  <w:style w:type="paragraph" w:styleId="688">
    <w:name w:val="toc 2"/>
    <w:basedOn w:val="660"/>
    <w:next w:val="660"/>
    <w:uiPriority w:val="39"/>
    <w:unhideWhenUsed/>
    <w:qFormat/>
    <w:pPr>
      <w:ind w:left="283" w:right="0" w:firstLine="0"/>
      <w:spacing w:after="57"/>
    </w:pPr>
  </w:style>
  <w:style w:type="paragraph" w:styleId="689">
    <w:name w:val="toc 9"/>
    <w:basedOn w:val="660"/>
    <w:next w:val="660"/>
    <w:uiPriority w:val="39"/>
    <w:unhideWhenUsed/>
    <w:qFormat/>
    <w:pPr>
      <w:ind w:left="2268" w:right="0" w:firstLine="0"/>
      <w:spacing w:after="57"/>
    </w:pPr>
  </w:style>
  <w:style w:type="paragraph" w:styleId="690">
    <w:name w:val="Normal (Web)"/>
    <w:basedOn w:val="660"/>
    <w:uiPriority w:val="0"/>
    <w:qFormat/>
    <w:pPr>
      <w:ind w:firstLine="562"/>
      <w:spacing w:beforeAutospacing="1" w:afterAutospacing="1"/>
    </w:pPr>
    <w:rPr>
      <w:b/>
      <w:sz w:val="28"/>
    </w:rPr>
  </w:style>
  <w:style w:type="paragraph" w:styleId="691">
    <w:name w:val="Title"/>
    <w:basedOn w:val="660"/>
    <w:next w:val="660"/>
    <w:link w:val="707"/>
    <w:uiPriority w:val="10"/>
    <w:qFormat/>
    <w:pPr>
      <w:contextualSpacing/>
      <w:spacing w:before="300" w:after="200"/>
    </w:pPr>
    <w:rPr>
      <w:sz w:val="48"/>
      <w:szCs w:val="48"/>
    </w:rPr>
  </w:style>
  <w:style w:type="table" w:styleId="6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basedOn w:val="670"/>
    <w:uiPriority w:val="99"/>
    <w:semiHidden/>
    <w:unhideWhenUsed/>
    <w:qFormat/>
    <w:rPr>
      <w:vertAlign w:val="superscript"/>
    </w:rPr>
  </w:style>
  <w:style w:type="character" w:styleId="694">
    <w:name w:val="Hyperlink"/>
    <w:uiPriority w:val="99"/>
    <w:unhideWhenUsed/>
    <w:qFormat/>
    <w:rPr>
      <w:color w:val="0026e5" w:themeColor="hyperlink"/>
      <w:u w:val="single"/>
      <w14:textFill>
        <w14:solidFill>
          <w14:schemeClr w14:val="hlink"/>
        </w14:solidFill>
      </w14:textFill>
    </w:rPr>
  </w:style>
  <w:style w:type="character" w:styleId="695">
    <w:name w:val="footnote reference"/>
    <w:basedOn w:val="670"/>
    <w:uiPriority w:val="99"/>
    <w:unhideWhenUsed/>
    <w:qFormat/>
    <w:rPr>
      <w:vertAlign w:val="superscript"/>
    </w:rPr>
  </w:style>
  <w:style w:type="character" w:styleId="696" w:customStyle="1">
    <w:name w:val="Heading 1 Char"/>
    <w:basedOn w:val="670"/>
    <w:link w:val="661"/>
    <w:uiPriority w:val="9"/>
    <w:qFormat/>
    <w:rPr>
      <w:rFonts w:ascii="Arial" w:hAnsi="Arial" w:eastAsia="Arial" w:cs="Arial"/>
      <w:sz w:val="40"/>
      <w:szCs w:val="40"/>
    </w:rPr>
  </w:style>
  <w:style w:type="character" w:styleId="697" w:customStyle="1">
    <w:name w:val="Heading 2 Char"/>
    <w:basedOn w:val="670"/>
    <w:link w:val="662"/>
    <w:uiPriority w:val="9"/>
    <w:qFormat/>
    <w:rPr>
      <w:rFonts w:ascii="Arial" w:hAnsi="Arial" w:eastAsia="Arial" w:cs="Arial"/>
      <w:sz w:val="34"/>
    </w:rPr>
  </w:style>
  <w:style w:type="character" w:styleId="698" w:customStyle="1">
    <w:name w:val="Heading 3 Char"/>
    <w:basedOn w:val="670"/>
    <w:link w:val="663"/>
    <w:uiPriority w:val="9"/>
    <w:qFormat/>
    <w:rPr>
      <w:rFonts w:ascii="Arial" w:hAnsi="Arial" w:eastAsia="Arial" w:cs="Arial"/>
      <w:sz w:val="30"/>
      <w:szCs w:val="30"/>
    </w:rPr>
  </w:style>
  <w:style w:type="character" w:styleId="699" w:customStyle="1">
    <w:name w:val="Heading 4 Char"/>
    <w:basedOn w:val="670"/>
    <w:link w:val="664"/>
    <w:uiPriority w:val="9"/>
    <w:qFormat/>
    <w:rPr>
      <w:rFonts w:ascii="Arial" w:hAnsi="Arial" w:eastAsia="Arial" w:cs="Arial"/>
      <w:b/>
      <w:bCs/>
      <w:sz w:val="26"/>
      <w:szCs w:val="26"/>
    </w:rPr>
  </w:style>
  <w:style w:type="character" w:styleId="700" w:customStyle="1">
    <w:name w:val="Heading 5 Char"/>
    <w:basedOn w:val="670"/>
    <w:link w:val="665"/>
    <w:uiPriority w:val="9"/>
    <w:qFormat/>
    <w:rPr>
      <w:rFonts w:ascii="Arial" w:hAnsi="Arial" w:eastAsia="Arial" w:cs="Arial"/>
      <w:b/>
      <w:bCs/>
      <w:sz w:val="24"/>
      <w:szCs w:val="24"/>
    </w:rPr>
  </w:style>
  <w:style w:type="character" w:styleId="701" w:customStyle="1">
    <w:name w:val="Heading 6 Char"/>
    <w:basedOn w:val="670"/>
    <w:link w:val="666"/>
    <w:uiPriority w:val="9"/>
    <w:qFormat/>
    <w:rPr>
      <w:rFonts w:ascii="Arial" w:hAnsi="Arial" w:eastAsia="Arial" w:cs="Arial"/>
      <w:b/>
      <w:bCs/>
      <w:sz w:val="22"/>
      <w:szCs w:val="22"/>
    </w:rPr>
  </w:style>
  <w:style w:type="character" w:styleId="702" w:customStyle="1">
    <w:name w:val="Heading 7 Char"/>
    <w:basedOn w:val="670"/>
    <w:link w:val="667"/>
    <w:uiPriority w:val="9"/>
    <w:qFormat/>
    <w:rPr>
      <w:rFonts w:ascii="Arial" w:hAnsi="Arial" w:eastAsia="Arial" w:cs="Arial"/>
      <w:b/>
      <w:bCs/>
      <w:i/>
      <w:iCs/>
      <w:sz w:val="22"/>
      <w:szCs w:val="22"/>
    </w:rPr>
  </w:style>
  <w:style w:type="character" w:styleId="703" w:customStyle="1">
    <w:name w:val="Heading 8 Char"/>
    <w:basedOn w:val="670"/>
    <w:link w:val="668"/>
    <w:uiPriority w:val="9"/>
    <w:qFormat/>
    <w:rPr>
      <w:rFonts w:ascii="Arial" w:hAnsi="Arial" w:eastAsia="Arial" w:cs="Arial"/>
      <w:i/>
      <w:iCs/>
      <w:sz w:val="22"/>
      <w:szCs w:val="22"/>
    </w:rPr>
  </w:style>
  <w:style w:type="character" w:styleId="704" w:customStyle="1">
    <w:name w:val="Heading 9 Char"/>
    <w:basedOn w:val="670"/>
    <w:link w:val="669"/>
    <w:uiPriority w:val="9"/>
    <w:qFormat/>
    <w:rPr>
      <w:rFonts w:ascii="Arial" w:hAnsi="Arial" w:eastAsia="Arial" w:cs="Arial"/>
      <w:i/>
      <w:iCs/>
      <w:sz w:val="21"/>
      <w:szCs w:val="21"/>
    </w:rPr>
  </w:style>
  <w:style w:type="paragraph" w:styleId="705">
    <w:name w:val="List Paragraph"/>
    <w:basedOn w:val="660"/>
    <w:uiPriority w:val="34"/>
    <w:qFormat/>
    <w:pPr>
      <w:contextualSpacing/>
      <w:ind w:left="720"/>
    </w:pPr>
  </w:style>
  <w:style w:type="paragraph" w:styleId="706">
    <w:name w:val="No Spacing"/>
    <w:uiPriority w:val="1"/>
    <w:qFormat/>
    <w:pPr>
      <w:spacing w:before="0" w:after="0" w:line="240" w:lineRule="auto"/>
    </w:pPr>
    <w:rPr>
      <w:rFonts w:hint="default" w:ascii="Times New Roman" w:hAnsi="Times New Roman" w:eastAsia="宋体" w:cs="Times New Roman"/>
    </w:rPr>
  </w:style>
  <w:style w:type="character" w:styleId="707" w:customStyle="1">
    <w:name w:val="Title Char"/>
    <w:basedOn w:val="670"/>
    <w:link w:val="691"/>
    <w:uiPriority w:val="10"/>
    <w:qFormat/>
    <w:rPr>
      <w:sz w:val="48"/>
      <w:szCs w:val="48"/>
    </w:rPr>
  </w:style>
  <w:style w:type="character" w:styleId="708" w:customStyle="1">
    <w:name w:val="Subtitle Char"/>
    <w:basedOn w:val="670"/>
    <w:link w:val="684"/>
    <w:uiPriority w:val="11"/>
    <w:qFormat/>
    <w:rPr>
      <w:sz w:val="24"/>
      <w:szCs w:val="24"/>
    </w:rPr>
  </w:style>
  <w:style w:type="paragraph" w:styleId="709">
    <w:name w:val="Quote"/>
    <w:basedOn w:val="660"/>
    <w:next w:val="660"/>
    <w:link w:val="710"/>
    <w:uiPriority w:val="29"/>
    <w:qFormat/>
    <w:pPr>
      <w:ind w:left="720" w:right="720"/>
    </w:pPr>
    <w:rPr>
      <w:i/>
    </w:rPr>
  </w:style>
  <w:style w:type="character" w:styleId="710" w:customStyle="1">
    <w:name w:val="Quote Char"/>
    <w:link w:val="709"/>
    <w:uiPriority w:val="29"/>
    <w:qFormat/>
    <w:rPr>
      <w:i/>
    </w:rPr>
  </w:style>
  <w:style w:type="paragraph" w:styleId="711">
    <w:name w:val="Intense Quote"/>
    <w:basedOn w:val="660"/>
    <w:next w:val="660"/>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customStyle="1">
    <w:name w:val="Intense Quote Char"/>
    <w:link w:val="711"/>
    <w:uiPriority w:val="30"/>
    <w:qFormat/>
    <w:rPr>
      <w:i/>
    </w:rPr>
  </w:style>
  <w:style w:type="character" w:styleId="713" w:customStyle="1">
    <w:name w:val="Header Char"/>
    <w:basedOn w:val="670"/>
    <w:link w:val="681"/>
    <w:uiPriority w:val="99"/>
    <w:qFormat/>
  </w:style>
  <w:style w:type="character" w:styleId="714" w:customStyle="1">
    <w:name w:val="Footer Char"/>
    <w:basedOn w:val="670"/>
    <w:link w:val="680"/>
    <w:uiPriority w:val="99"/>
    <w:qFormat/>
  </w:style>
  <w:style w:type="character" w:styleId="715" w:customStyle="1">
    <w:name w:val="Caption Char"/>
    <w:link w:val="680"/>
    <w:uiPriority w:val="99"/>
    <w:qFormat/>
  </w:style>
  <w:style w:type="table" w:styleId="716" w:customStyle="1">
    <w:name w:val="Table Grid Light"/>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7" w:customStyle="1">
    <w:name w:val="Plain Table 1"/>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2"/>
    <w:basedOn w:val="6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3"/>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customStyle="1">
    <w:name w:val="Plain Table 4"/>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customStyle="1">
    <w:name w:val="Plain Table 5"/>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customStyle="1">
    <w:name w:val="Grid Table 1 Light"/>
    <w:basedOn w:val="6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1"/>
    <w:basedOn w:val="6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2"/>
    <w:basedOn w:val="6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3"/>
    <w:basedOn w:val="6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4"/>
    <w:basedOn w:val="6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5"/>
    <w:basedOn w:val="6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6"/>
    <w:basedOn w:val="6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29" w:customStyle="1">
    <w:name w:val="Grid Table 2"/>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2 - Accent 1"/>
    <w:basedOn w:val="6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1" w:customStyle="1">
    <w:name w:val="Grid Table 2 - Accent 2"/>
    <w:basedOn w:val="6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2" w:customStyle="1">
    <w:name w:val="Grid Table 2 - Accent 3"/>
    <w:basedOn w:val="6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3" w:customStyle="1">
    <w:name w:val="Grid Table 2 - Accent 4"/>
    <w:basedOn w:val="6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4" w:customStyle="1">
    <w:name w:val="Grid Table 2 - Accent 5"/>
    <w:basedOn w:val="6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5" w:customStyle="1">
    <w:name w:val="Grid Table 2 - Accent 6"/>
    <w:basedOn w:val="6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6" w:customStyle="1">
    <w:name w:val="Grid Table 3"/>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1"/>
    <w:basedOn w:val="6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2"/>
    <w:basedOn w:val="6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3"/>
    <w:basedOn w:val="6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4"/>
    <w:basedOn w:val="6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5"/>
    <w:basedOn w:val="6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6"/>
    <w:basedOn w:val="6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4 - Accent 1"/>
    <w:basedOn w:val="67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5" w:customStyle="1">
    <w:name w:val="Grid Table 4 - Accent 2"/>
    <w:basedOn w:val="67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6" w:customStyle="1">
    <w:name w:val="Grid Table 4 - Accent 3"/>
    <w:basedOn w:val="67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7" w:customStyle="1">
    <w:name w:val="Grid Table 4 - Accent 4"/>
    <w:basedOn w:val="67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48" w:customStyle="1">
    <w:name w:val="Grid Table 4 - Accent 5"/>
    <w:basedOn w:val="67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49" w:customStyle="1">
    <w:name w:val="Grid Table 4 - Accent 6"/>
    <w:basedOn w:val="67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0" w:customStyle="1">
    <w:name w:val="Grid Table 5 Dark"/>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5 Dark- Accent 1"/>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2" w:customStyle="1">
    <w:name w:val="Grid Table 5 Dark - Accent 2"/>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3" w:customStyle="1">
    <w:name w:val="Grid Table 5 Dark - Accent 3"/>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4" w:customStyle="1">
    <w:name w:val="Grid Table 5 Dark- Accent 4"/>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5" w:customStyle="1">
    <w:name w:val="Grid Table 5 Dark - Accent 5"/>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6" w:customStyle="1">
    <w:name w:val="Grid Table 5 Dark - Accent 6"/>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7" w:customStyle="1">
    <w:name w:val="Grid Table 6 Colorful"/>
    <w:basedOn w:val="6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6 Colorful - Accent 1"/>
    <w:basedOn w:val="67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59" w:customStyle="1">
    <w:name w:val="Grid Table 6 Colorful - Accent 2"/>
    <w:basedOn w:val="6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0" w:customStyle="1">
    <w:name w:val="Grid Table 6 Colorful - Accent 3"/>
    <w:basedOn w:val="67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1" w:customStyle="1">
    <w:name w:val="Grid Table 6 Colorful - Accent 4"/>
    <w:basedOn w:val="6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2" w:customStyle="1">
    <w:name w:val="Grid Table 6 Colorful - Accent 5"/>
    <w:basedOn w:val="67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3" w:customStyle="1">
    <w:name w:val="Grid Table 6 Colorful - Accent 6"/>
    <w:basedOn w:val="67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4" w:customStyle="1">
    <w:name w:val="Grid Table 7 Colorful"/>
    <w:basedOn w:val="6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5" w:customStyle="1">
    <w:name w:val="Grid Table 7 Colorful - Accent 1"/>
    <w:basedOn w:val="67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6" w:customStyle="1">
    <w:name w:val="Grid Table 7 Colorful - Accent 2"/>
    <w:basedOn w:val="67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7" w:customStyle="1">
    <w:name w:val="Grid Table 7 Colorful - Accent 3"/>
    <w:basedOn w:val="67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68" w:customStyle="1">
    <w:name w:val="Grid Table 7 Colorful - Accent 4"/>
    <w:basedOn w:val="67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69" w:customStyle="1">
    <w:name w:val="Grid Table 7 Colorful - Accent 5"/>
    <w:basedOn w:val="67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0" w:customStyle="1">
    <w:name w:val="Grid Table 7 Colorful - Accent 6"/>
    <w:basedOn w:val="67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1" w:customStyle="1">
    <w:name w:val="List Table 1 Light"/>
    <w:basedOn w:val="6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1 Light - Accent 1"/>
    <w:basedOn w:val="67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3" w:customStyle="1">
    <w:name w:val="List Table 1 Light - Accent 2"/>
    <w:basedOn w:val="67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4" w:customStyle="1">
    <w:name w:val="List Table 1 Light - Accent 3"/>
    <w:basedOn w:val="67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5" w:customStyle="1">
    <w:name w:val="List Table 1 Light - Accent 4"/>
    <w:basedOn w:val="67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6" w:customStyle="1">
    <w:name w:val="List Table 1 Light - Accent 5"/>
    <w:basedOn w:val="67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7" w:customStyle="1">
    <w:name w:val="List Table 1 Light - Accent 6"/>
    <w:basedOn w:val="67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78" w:customStyle="1">
    <w:name w:val="List Table 2"/>
    <w:basedOn w:val="6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2 - Accent 1"/>
    <w:basedOn w:val="67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0" w:customStyle="1">
    <w:name w:val="List Table 2 - Accent 2"/>
    <w:basedOn w:val="67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1" w:customStyle="1">
    <w:name w:val="List Table 2 - Accent 3"/>
    <w:basedOn w:val="67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2" w:customStyle="1">
    <w:name w:val="List Table 2 - Accent 4"/>
    <w:basedOn w:val="67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3" w:customStyle="1">
    <w:name w:val="List Table 2 - Accent 5"/>
    <w:basedOn w:val="67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4" w:customStyle="1">
    <w:name w:val="List Table 2 - Accent 6"/>
    <w:basedOn w:val="67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5" w:customStyle="1">
    <w:name w:val="List Table 3"/>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3 - Accent 1"/>
    <w:basedOn w:val="67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7" w:customStyle="1">
    <w:name w:val="List Table 3 - Accent 2"/>
    <w:basedOn w:val="6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88" w:customStyle="1">
    <w:name w:val="List Table 3 - Accent 3"/>
    <w:basedOn w:val="67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89" w:customStyle="1">
    <w:name w:val="List Table 3 - Accent 4"/>
    <w:basedOn w:val="6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0" w:customStyle="1">
    <w:name w:val="List Table 3 - Accent 5"/>
    <w:basedOn w:val="67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1" w:customStyle="1">
    <w:name w:val="List Table 3 - Accent 6"/>
    <w:basedOn w:val="67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2" w:customStyle="1">
    <w:name w:val="List Table 4"/>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4 - Accent 1"/>
    <w:basedOn w:val="67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4" w:customStyle="1">
    <w:name w:val="List Table 4 - Accent 2"/>
    <w:basedOn w:val="67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5" w:customStyle="1">
    <w:name w:val="List Table 4 - Accent 3"/>
    <w:basedOn w:val="67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6" w:customStyle="1">
    <w:name w:val="List Table 4 - Accent 4"/>
    <w:basedOn w:val="67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7" w:customStyle="1">
    <w:name w:val="List Table 4 - Accent 5"/>
    <w:basedOn w:val="67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98" w:customStyle="1">
    <w:name w:val="List Table 4 - Accent 6"/>
    <w:basedOn w:val="67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99" w:customStyle="1">
    <w:name w:val="List Table 5 Dark"/>
    <w:basedOn w:val="6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1"/>
    <w:basedOn w:val="67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2"/>
    <w:basedOn w:val="67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3"/>
    <w:basedOn w:val="67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4"/>
    <w:basedOn w:val="67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5"/>
    <w:basedOn w:val="67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6"/>
    <w:basedOn w:val="67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basedOn w:val="6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6 Colorful - Accent 1"/>
    <w:basedOn w:val="67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08" w:customStyle="1">
    <w:name w:val="List Table 6 Colorful - Accent 2"/>
    <w:basedOn w:val="67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09" w:customStyle="1">
    <w:name w:val="List Table 6 Colorful - Accent 3"/>
    <w:basedOn w:val="67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0" w:customStyle="1">
    <w:name w:val="List Table 6 Colorful - Accent 4"/>
    <w:basedOn w:val="67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1" w:customStyle="1">
    <w:name w:val="List Table 6 Colorful - Accent 5"/>
    <w:basedOn w:val="67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2" w:customStyle="1">
    <w:name w:val="List Table 6 Colorful - Accent 6"/>
    <w:basedOn w:val="67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3" w:customStyle="1">
    <w:name w:val="List Table 7 Colorful"/>
    <w:basedOn w:val="6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List Table 7 Colorful - Accent 1"/>
    <w:basedOn w:val="67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5" w:customStyle="1">
    <w:name w:val="List Table 7 Colorful - Accent 2"/>
    <w:basedOn w:val="67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6" w:customStyle="1">
    <w:name w:val="List Table 7 Colorful - Accent 3"/>
    <w:basedOn w:val="67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7" w:customStyle="1">
    <w:name w:val="List Table 7 Colorful - Accent 4"/>
    <w:basedOn w:val="67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8" w:customStyle="1">
    <w:name w:val="List Table 7 Colorful - Accent 5"/>
    <w:basedOn w:val="67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19" w:customStyle="1">
    <w:name w:val="List Table 7 Colorful - Accent 6"/>
    <w:basedOn w:val="67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0" w:customStyle="1">
    <w:name w:val="Lined - Accent"/>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Lined - Accent 1"/>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2" w:customStyle="1">
    <w:name w:val="Lined - Accent 2"/>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3" w:customStyle="1">
    <w:name w:val="Lined - Accent 3"/>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4" w:customStyle="1">
    <w:name w:val="Lined - Accent 4"/>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5" w:customStyle="1">
    <w:name w:val="Lined - Accent 5"/>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6" w:customStyle="1">
    <w:name w:val="Lined - Accent 6"/>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7" w:customStyle="1">
    <w:name w:val="Bordered &amp; Lined - Accent"/>
    <w:basedOn w:val="6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Bordered &amp; Lined - Accent 1"/>
    <w:basedOn w:val="67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9" w:customStyle="1">
    <w:name w:val="Bordered &amp; Lined - Accent 2"/>
    <w:basedOn w:val="67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0" w:customStyle="1">
    <w:name w:val="Bordered &amp; Lined - Accent 3"/>
    <w:basedOn w:val="67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1" w:customStyle="1">
    <w:name w:val="Bordered &amp; Lined - Accent 4"/>
    <w:basedOn w:val="67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2" w:customStyle="1">
    <w:name w:val="Bordered &amp; Lined - Accent 5"/>
    <w:basedOn w:val="67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3" w:customStyle="1">
    <w:name w:val="Bordered &amp; Lined - Accent 6"/>
    <w:basedOn w:val="67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4" w:customStyle="1">
    <w:name w:val="Bordered"/>
    <w:basedOn w:val="6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5" w:customStyle="1">
    <w:name w:val="Bordered - Accent 1"/>
    <w:basedOn w:val="6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6" w:customStyle="1">
    <w:name w:val="Bordered - Accent 2"/>
    <w:basedOn w:val="6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7" w:customStyle="1">
    <w:name w:val="Bordered - Accent 3"/>
    <w:basedOn w:val="6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38" w:customStyle="1">
    <w:name w:val="Bordered - Accent 4"/>
    <w:basedOn w:val="6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39" w:customStyle="1">
    <w:name w:val="Bordered - Accent 5"/>
    <w:basedOn w:val="6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0" w:customStyle="1">
    <w:name w:val="Bordered - Accent 6"/>
    <w:basedOn w:val="6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1" w:customStyle="1">
    <w:name w:val="Footnote Text Char"/>
    <w:link w:val="685"/>
    <w:uiPriority w:val="99"/>
    <w:qFormat/>
    <w:rPr>
      <w:sz w:val="18"/>
    </w:rPr>
  </w:style>
  <w:style w:type="character" w:styleId="842" w:customStyle="1">
    <w:name w:val="Endnote Text Char"/>
    <w:link w:val="679"/>
    <w:uiPriority w:val="99"/>
    <w:qFormat/>
    <w:rPr>
      <w:sz w:val="20"/>
    </w:rPr>
  </w:style>
  <w:style w:type="paragraph" w:styleId="843" w:customStyle="1">
    <w:name w:val="TOC Heading"/>
    <w:uiPriority w:val="39"/>
    <w:unhideWhenUsed/>
    <w:qFormat/>
    <w:rPr>
      <w:rFonts w:hint="default" w:ascii="Times New Roman" w:hAnsi="Times New Roman" w:eastAsia="宋体" w:cs="Times New Roman"/>
    </w:rPr>
  </w:style>
  <w:style w:type="paragraph" w:styleId="844" w:customStyle="1">
    <w:name w:val="正文文本1"/>
    <w:basedOn w:val="660"/>
    <w:uiPriority w:val="0"/>
    <w:qFormat/>
    <w:pPr>
      <w:spacing w:line="60" w:lineRule="auto"/>
    </w:pPr>
    <w:rPr>
      <w:rFonts w:ascii="仿宋_GB2312" w:eastAsia="仿宋_GB2312"/>
      <w:sz w:val="32"/>
    </w:rPr>
  </w:style>
  <w:style w:type="paragraph" w:styleId="845" w:customStyle="1">
    <w:name w:val="WPSOffice手动目录 1"/>
    <w:uiPriority w:val="0"/>
    <w:qFormat/>
    <w:rPr>
      <w:rFonts w:hint="default" w:ascii="Times New Roman" w:hAnsi="Times New Roman" w:eastAsia="宋体" w:cs="Times New Roman"/>
      <w:lang w:val="en-US" w:eastAsia="zh-CN" w:bidi="ar-SA"/>
    </w:rPr>
  </w:style>
  <w:style w:type="paragraph" w:styleId="846" w:customStyle="1">
    <w:name w:val="WPSOffice手动目录 2"/>
    <w:uiPriority w:val="0"/>
    <w:qFormat/>
    <w:rPr>
      <w:rFonts w:hint="default" w:ascii="Times New Roman" w:hAnsi="Times New Roman" w:eastAsia="宋体" w:cs="Times New Roman"/>
      <w:lang w:val="en-US" w:eastAsia="zh-CN" w:bidi="ar-SA"/>
    </w:rPr>
  </w:style>
  <w:style w:type="paragraph" w:styleId="847" w:customStyle="1">
    <w:name w:val="列出段落1"/>
    <w:basedOn w:val="660"/>
    <w:uiPriority w:val="99"/>
    <w:qFormat/>
    <w:pPr>
      <w:ind w:firstLine="200"/>
    </w:pPr>
    <w:rPr>
      <w:rFonts w:ascii="Calibri" w:hAnsi="Calibri"/>
      <w:szCs w:val="22"/>
    </w:rPr>
  </w:style>
  <w:style w:type="paragraph" w:styleId="848" w:customStyle="1">
    <w:name w:val="列出段落"/>
    <w:basedOn w:val="660"/>
    <w:uiPriority w:val="34"/>
    <w:qFormat/>
    <w:pPr>
      <w:ind w:firstLine="420"/>
    </w:pPr>
  </w:style>
  <w:style w:type="paragraph" w:styleId="849" w:customStyle="1">
    <w:name w:val="列出段落2"/>
    <w:basedOn w:val="660"/>
    <w:uiPriority w:val="0"/>
    <w:qFormat/>
    <w:pPr>
      <w:ind w:firstLine="420"/>
    </w:pPr>
    <w:rPr>
      <w:rFonts w:ascii="Times New Roman" w:hAnsi="Times New Roman" w:eastAsia="宋体" w:cs="Times New Roman"/>
    </w:rPr>
  </w:style>
  <w:style w:type="paragraph" w:styleId="850" w:customStyle="1">
    <w:name w:val="普通(网站)1"/>
    <w:basedOn w:val="660"/>
    <w:uiPriority w:val="0"/>
    <w:qFormat/>
    <w:pPr>
      <w:jc w:val="left"/>
      <w:spacing w:before="100" w:beforeAutospacing="1" w:after="100" w:afterAutospacing="1"/>
      <w:widowControl/>
    </w:pPr>
    <w:rPr>
      <w:rFonts w:ascii="宋体"/>
      <w:sz w:val="24"/>
      <w:szCs w:val="20"/>
    </w:rPr>
  </w:style>
  <w:style w:type="paragraph" w:styleId="851" w:customStyle="1">
    <w:name w:val="标题 21"/>
    <w:basedOn w:val="660"/>
    <w:next w:val="660"/>
    <w:uiPriority w:val="0"/>
    <w:qFormat/>
    <w:pPr>
      <w:keepLines/>
      <w:keepNext/>
      <w:spacing w:before="260" w:after="260" w:line="413" w:lineRule="auto"/>
      <w:outlineLvl w:val="1"/>
    </w:pPr>
    <w:rPr>
      <w:rFonts w:ascii="Arial" w:hAnsi="Arial" w:eastAsia="黑体"/>
      <w:b/>
      <w:sz w:val="32"/>
      <w:szCs w:val="20"/>
    </w:rPr>
  </w:style>
  <w:style w:type="paragraph" w:styleId="852" w:customStyle="1">
    <w:name w:val="Normal_0"/>
    <w:uiPriority w:val="0"/>
    <w:qFormat/>
    <w:rPr>
      <w:rFonts w:hint="default" w:ascii="黑体" w:hAnsi="黑体" w:eastAsia="黑体" w:cs="Times New Roman"/>
      <w:b/>
      <w:sz w:val="32"/>
      <w:szCs w:val="24"/>
      <w:lang w:bidi="ar-SA"/>
    </w:rPr>
  </w:style>
  <w:style w:type="paragraph" w:styleId="853" w:customStyle="1">
    <w:name w:val="正文文本缩进11"/>
    <w:basedOn w:val="660"/>
    <w:uiPriority w:val="0"/>
    <w:qFormat/>
    <w:pPr>
      <w:ind w:firstLine="225"/>
    </w:pPr>
    <w:rPr>
      <w:rFonts w:ascii="仿宋_GB2312" w:eastAsia="仿宋_GB2312"/>
      <w:sz w:val="32"/>
    </w:rPr>
  </w:style>
  <w:style w:type="paragraph" w:styleId="854" w:customStyle="1">
    <w:name w:val="普通正文"/>
    <w:basedOn w:val="660"/>
    <w:uiPriority w:val="0"/>
    <w:qFormat/>
    <w:pPr>
      <w:ind w:firstLine="425"/>
      <w:jc w:val="left"/>
    </w:pPr>
    <w:rPr>
      <w:rFonts w:ascii="宋体"/>
      <w:sz w:val="20"/>
      <w:szCs w:val="20"/>
    </w:rPr>
  </w:style>
  <w:style w:type="paragraph" w:styleId="855" w:customStyle="1">
    <w:name w:val="列出段落3"/>
    <w:basedOn w:val="660"/>
    <w:uiPriority w:val="0"/>
    <w:qFormat/>
    <w:pPr>
      <w:ind w:firstLine="420"/>
    </w:pPr>
    <w:rPr>
      <w:rFonts w:ascii="Times New Roman" w:hAnsi="Times New Roman" w:eastAsia="宋体" w:cs="Times New Roman"/>
      <w:szCs w:val="20"/>
    </w:rPr>
  </w:style>
  <w:style w:type="character" w:styleId="856" w:customStyle="1">
    <w:name w:val="NormalCharacter1"/>
    <w:link w:val="660"/>
    <w:uiPriority w:val="0"/>
    <w:semiHidden/>
    <w:qFormat/>
    <w:rPr>
      <w:rFonts w:hint="default" w:ascii="Times New Roman" w:hAnsi="Times New Roman" w:eastAsia="宋体" w:cs="Times New Roman"/>
      <w:sz w:val="21"/>
      <w:szCs w:val="22"/>
      <w:lang w:val="en-US" w:eastAsia="zh-CN" w:bidi="ar-SA"/>
    </w:rPr>
  </w:style>
  <w:style w:type="character" w:styleId="857" w:customStyle="1">
    <w:name w:val="wyg1"/>
    <w:link w:val="660"/>
    <w:uiPriority w:val="0"/>
    <w:qFormat/>
    <w:rPr>
      <w:color w:val="000000"/>
      <w:sz w:val="20"/>
      <w:szCs w:val="20"/>
      <w:u w:val="none"/>
    </w:rPr>
  </w:style>
  <w:style w:type="character" w:styleId="858" w:customStyle="1">
    <w:name w:val="s141"/>
    <w:link w:val="660"/>
    <w:uiPriority w:val="0"/>
    <w:qFormat/>
    <w:rPr>
      <w:rFonts w:ascii="_x000B__x000C_" w:hAnsi="_x000B__x000C_"/>
      <w:sz w:val="21"/>
      <w:szCs w:val="21"/>
    </w:rPr>
  </w:style>
  <w:style w:type="paragraph" w:styleId="859" w:customStyle="1">
    <w:name w:val="纯文本11"/>
    <w:basedOn w:val="660"/>
    <w:uiPriority w:val="0"/>
    <w:qFormat/>
    <w:rPr>
      <w:rFonts w:ascii="宋体"/>
      <w:szCs w:val="21"/>
    </w:rPr>
  </w:style>
  <w:style w:type="paragraph" w:styleId="860" w:customStyle="1">
    <w:name w:val="Normal_0_3"/>
    <w:uiPriority w:val="0"/>
    <w:qFormat/>
    <w:rPr>
      <w:rFonts w:hint="default" w:ascii="黑体" w:hAnsi="黑体" w:eastAsia="黑体" w:cs="Times New Roman"/>
      <w:b/>
      <w:sz w:val="32"/>
      <w:szCs w:val="24"/>
      <w:lang w:bidi="ar-SA"/>
    </w:rPr>
  </w:style>
  <w:style w:type="paragraph" w:styleId="861"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2" w:customStyle="1">
    <w:name w:val="Normal_0_2"/>
    <w:uiPriority w:val="0"/>
    <w:qFormat/>
    <w:rPr>
      <w:rFonts w:hint="default" w:ascii="黑体" w:hAnsi="黑体" w:eastAsia="黑体" w:cs="Times New Roman"/>
      <w:b/>
      <w:sz w:val="32"/>
      <w:szCs w:val="24"/>
      <w:lang w:bidi="ar-SA"/>
    </w:rPr>
  </w:style>
  <w:style w:type="paragraph" w:styleId="863" w:customStyle="1">
    <w:name w:val="Normal_1_2"/>
    <w:uiPriority w:val="0"/>
    <w:qFormat/>
    <w:rPr>
      <w:rFonts w:hint="default" w:ascii="Times New Roman" w:hAnsi="Times New Roman" w:eastAsia="Times New Roman" w:cs="Times New Roman"/>
      <w:sz w:val="24"/>
      <w:szCs w:val="24"/>
      <w:lang w:bidi="ar-SA"/>
    </w:rPr>
  </w:style>
  <w:style w:type="paragraph" w:styleId="864" w:customStyle="1">
    <w:name w:val="Normal_0_1"/>
    <w:uiPriority w:val="0"/>
    <w:qFormat/>
    <w:rPr>
      <w:rFonts w:hint="default" w:ascii="黑体" w:hAnsi="黑体" w:eastAsia="黑体" w:cs="Times New Roman"/>
      <w:b/>
      <w:sz w:val="32"/>
      <w:szCs w:val="24"/>
      <w:lang w:bidi="ar-SA"/>
    </w:rPr>
  </w:style>
  <w:style w:type="paragraph" w:styleId="865"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6" w:customStyle="1">
    <w:name w:val="Normal_1_1"/>
    <w:uiPriority w:val="0"/>
    <w:qFormat/>
    <w:rPr>
      <w:rFonts w:hint="default" w:ascii="黑体" w:hAnsi="黑体" w:eastAsia="黑体" w:cs="Times New Roman"/>
      <w:b/>
      <w:sz w:val="32"/>
      <w:szCs w:val="24"/>
      <w:lang w:bidi="ar-SA"/>
    </w:rPr>
  </w:style>
  <w:style w:type="paragraph" w:styleId="867" w:customStyle="1">
    <w:name w:val="Normal_2_0"/>
    <w:uiPriority w:val="0"/>
    <w:qFormat/>
    <w:rPr>
      <w:rFonts w:hint="default" w:ascii="黑体" w:hAnsi="黑体" w:eastAsia="黑体" w:cs="Times New Roman"/>
      <w:b/>
      <w:sz w:val="32"/>
      <w:szCs w:val="24"/>
      <w:lang w:bidi="ar-SA"/>
    </w:rPr>
  </w:style>
  <w:style w:type="paragraph" w:styleId="868"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9" w:customStyle="1">
    <w:name w:val="Normal_3_0"/>
    <w:uiPriority w:val="0"/>
    <w:qFormat/>
    <w:rPr>
      <w:rFonts w:hint="default" w:ascii="黑体" w:hAnsi="黑体" w:eastAsia="黑体" w:cs="Times New Roman"/>
      <w:b/>
      <w:sz w:val="32"/>
      <w:szCs w:val="24"/>
      <w:lang w:bidi="ar-SA"/>
    </w:rPr>
  </w:style>
  <w:style w:type="paragraph" w:styleId="870"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1"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872"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3" w:customStyle="1">
    <w:name w:val="Normal_4_0"/>
    <w:uiPriority w:val="0"/>
    <w:qFormat/>
    <w:rPr>
      <w:rFonts w:hint="default" w:ascii="黑体" w:hAnsi="黑体" w:eastAsia="黑体" w:cs="Times New Roman"/>
      <w:b/>
      <w:sz w:val="32"/>
      <w:szCs w:val="24"/>
      <w:lang w:bidi="ar-SA"/>
    </w:rPr>
  </w:style>
  <w:style w:type="paragraph" w:styleId="874" w:customStyle="1">
    <w:name w:val="Normal_5_0"/>
    <w:uiPriority w:val="0"/>
    <w:qFormat/>
    <w:rPr>
      <w:rFonts w:hint="default" w:ascii="黑体" w:hAnsi="黑体" w:eastAsia="黑体" w:cs="Times New Roman"/>
      <w:b/>
      <w:sz w:val="32"/>
      <w:szCs w:val="24"/>
      <w:lang w:bidi="ar-SA"/>
    </w:rPr>
  </w:style>
  <w:style w:type="paragraph" w:styleId="875"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876"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77" w:customStyle="1">
    <w:name w:val="Normal_6_0"/>
    <w:uiPriority w:val="0"/>
    <w:qFormat/>
    <w:rPr>
      <w:rFonts w:hint="default" w:ascii="黑体" w:hAnsi="黑体" w:eastAsia="黑体" w:cs="Times New Roman"/>
      <w:b/>
      <w:sz w:val="32"/>
      <w:szCs w:val="24"/>
      <w:lang w:bidi="ar-SA"/>
    </w:rPr>
  </w:style>
  <w:style w:type="paragraph" w:styleId="878"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Normal_7_0"/>
    <w:uiPriority w:val="0"/>
    <w:qFormat/>
    <w:rPr>
      <w:rFonts w:hint="default" w:ascii="黑体" w:hAnsi="黑体" w:eastAsia="黑体" w:cs="Times New Roman"/>
      <w:b/>
      <w:sz w:val="32"/>
      <w:szCs w:val="24"/>
      <w:lang w:bidi="ar-SA"/>
    </w:rPr>
  </w:style>
  <w:style w:type="paragraph" w:styleId="88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88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4"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886"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7" w:customStyle="1">
    <w:name w:val="Normal_8_0"/>
    <w:uiPriority w:val="0"/>
    <w:qFormat/>
    <w:rPr>
      <w:rFonts w:hint="default" w:ascii="黑体" w:hAnsi="黑体" w:eastAsia="黑体" w:cs="Times New Roman"/>
      <w:b/>
      <w:sz w:val="32"/>
      <w:szCs w:val="24"/>
      <w:lang w:bidi="ar-SA"/>
    </w:rPr>
  </w:style>
  <w:style w:type="paragraph" w:styleId="888" w:customStyle="1">
    <w:name w:val="Normal_10_0"/>
    <w:uiPriority w:val="0"/>
    <w:qFormat/>
    <w:rPr>
      <w:rFonts w:hint="default" w:ascii="黑体" w:hAnsi="黑体" w:eastAsia="黑体" w:cs="Times New Roman"/>
      <w:b/>
      <w:sz w:val="32"/>
      <w:szCs w:val="24"/>
      <w:lang w:bidi="ar-SA"/>
    </w:rPr>
  </w:style>
  <w:style w:type="paragraph" w:styleId="889"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0" w:customStyle="1">
    <w:name w:val="Normal_11_0"/>
    <w:uiPriority w:val="0"/>
    <w:qFormat/>
    <w:rPr>
      <w:rFonts w:hint="default" w:ascii="黑体" w:hAnsi="黑体" w:eastAsia="黑体" w:cs="Times New Roman"/>
      <w:b/>
      <w:sz w:val="32"/>
      <w:szCs w:val="24"/>
      <w:lang w:bidi="ar-SA"/>
    </w:rPr>
  </w:style>
  <w:style w:type="character" w:styleId="891" w:customStyle="1">
    <w:name w:val="要点1"/>
    <w:link w:val="660"/>
    <w:uiPriority w:val="0"/>
    <w:qFormat/>
    <w:rPr>
      <w:b/>
    </w:rPr>
  </w:style>
  <w:style w:type="paragraph" w:styleId="892" w:customStyle="1">
    <w:name w:val="标题 41"/>
    <w:basedOn w:val="660"/>
    <w:next w:val="66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93"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4"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5"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6" w:customStyle="1">
    <w:name w:val="Normal_12_0"/>
    <w:uiPriority w:val="0"/>
    <w:qFormat/>
    <w:rPr>
      <w:rFonts w:hint="default" w:ascii="黑体" w:hAnsi="黑体" w:eastAsia="黑体" w:cs="Times New Roman"/>
      <w:b/>
      <w:sz w:val="32"/>
      <w:szCs w:val="24"/>
      <w:lang w:bidi="ar-SA"/>
    </w:rPr>
  </w:style>
  <w:style w:type="paragraph" w:styleId="897"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8" w:customStyle="1">
    <w:name w:val="纯文本_0_0"/>
    <w:basedOn w:val="897"/>
    <w:uiPriority w:val="0"/>
    <w:unhideWhenUsed/>
    <w:qFormat/>
    <w:rPr>
      <w:rFonts w:ascii="宋体" w:hAnsi="Courier New"/>
      <w:szCs w:val="21"/>
    </w:rPr>
  </w:style>
  <w:style w:type="paragraph" w:styleId="899"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0" w:customStyle="1">
    <w:name w:val="Normal_13_0"/>
    <w:uiPriority w:val="0"/>
    <w:qFormat/>
    <w:rPr>
      <w:rFonts w:hint="default" w:ascii="黑体" w:hAnsi="黑体" w:eastAsia="黑体" w:cs="Times New Roman"/>
      <w:b/>
      <w:sz w:val="32"/>
      <w:szCs w:val="24"/>
      <w:lang w:bidi="ar-SA"/>
    </w:rPr>
  </w:style>
  <w:style w:type="paragraph" w:styleId="901"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2" w:customStyle="1">
    <w:name w:val="Normal_14_0"/>
    <w:uiPriority w:val="0"/>
    <w:qFormat/>
    <w:rPr>
      <w:rFonts w:hint="default" w:ascii="黑体" w:hAnsi="黑体" w:eastAsia="黑体" w:cs="Times New Roman"/>
      <w:b/>
      <w:sz w:val="32"/>
      <w:szCs w:val="24"/>
      <w:lang w:bidi="ar-SA"/>
    </w:rPr>
  </w:style>
  <w:style w:type="paragraph" w:styleId="903"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5" w:customStyle="1">
    <w:name w:val="Normal_15_0"/>
    <w:uiPriority w:val="0"/>
    <w:qFormat/>
    <w:rPr>
      <w:rFonts w:hint="default" w:ascii="黑体" w:hAnsi="黑体" w:eastAsia="黑体" w:cs="Times New Roman"/>
      <w:b/>
      <w:sz w:val="32"/>
      <w:szCs w:val="24"/>
      <w:lang w:bidi="ar-SA"/>
    </w:rPr>
  </w:style>
  <w:style w:type="paragraph" w:styleId="906"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Normal_17_0"/>
    <w:uiPriority w:val="0"/>
    <w:qFormat/>
    <w:rPr>
      <w:rFonts w:hint="default" w:ascii="黑体" w:hAnsi="黑体" w:eastAsia="黑体" w:cs="Times New Roman"/>
      <w:b/>
      <w:sz w:val="32"/>
      <w:szCs w:val="24"/>
      <w:lang w:bidi="ar-SA"/>
    </w:rPr>
  </w:style>
  <w:style w:type="paragraph" w:styleId="908"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0" w:customStyle="1">
    <w:name w:val="Normal_18_0"/>
    <w:uiPriority w:val="0"/>
    <w:qFormat/>
    <w:rPr>
      <w:rFonts w:hint="default" w:ascii="黑体" w:hAnsi="黑体" w:eastAsia="黑体" w:cs="Times New Roman"/>
      <w:b/>
      <w:sz w:val="32"/>
      <w:szCs w:val="24"/>
      <w:lang w:bidi="ar-SA"/>
    </w:rPr>
  </w:style>
  <w:style w:type="paragraph" w:styleId="911"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2" w:customStyle="1">
    <w:name w:val="页脚11"/>
    <w:basedOn w:val="660"/>
    <w:uiPriority w:val="99"/>
    <w:qFormat/>
    <w:pPr>
      <w:jc w:val="left"/>
      <w:tabs>
        <w:tab w:val="center" w:pos="4153" w:leader="none"/>
        <w:tab w:val="right" w:pos="8306" w:leader="none"/>
      </w:tabs>
    </w:pPr>
    <w:rPr>
      <w:rFonts w:ascii="Calibri" w:hAnsi="Calibri"/>
      <w:sz w:val="18"/>
      <w:szCs w:val="18"/>
    </w:rPr>
  </w:style>
  <w:style w:type="numbering" w:styleId="107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lp202</dc:creator>
  <cp:lastModifiedBy>盐城锁</cp:lastModifiedBy>
  <cp:revision>2</cp:revision>
  <dcterms:created xsi:type="dcterms:W3CDTF">2025-11-26T13:31:00Z</dcterms:created>
  <dcterms:modified xsi:type="dcterms:W3CDTF">2025-12-19T06:28:16Z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eyJoZGlkIjoiYzQyMzdkOTA4NGFjNTcxZjM5YWQ3NWUxNmJiYmMzN2MiLCJ1c2VySWQiOiIzMTg5MzgxNzEifQ==</vt:lpwstr>
  </property>
  <property fmtid="{D5CDD505-2E9C-101B-9397-08002B2CF9AE}" pid="4" name="ICV">
    <vt:lpwstr>CE6372A6B9D147E6A5267D43E1EE8B3C_13</vt:lpwstr>
  </property>
</Properties>
</file>